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  <Override PartName="/word/charts/style2.xml" ContentType="application/vnd.ms-office.chartstyle+xml"/>
  <Override PartName="/word/charts/colors2.xml" ContentType="application/vnd.ms-office.chartcolorstyle+xml"/>
  <Override PartName="/word/charts/style3.xml" ContentType="application/vnd.ms-office.chartstyle+xml"/>
  <Override PartName="/word/charts/colors3.xml" ContentType="application/vnd.ms-office.chartcolorstyle+xml"/>
  <Override PartName="/word/charts/style4.xml" ContentType="application/vnd.ms-office.chartstyle+xml"/>
  <Override PartName="/word/charts/colors4.xml" ContentType="application/vnd.ms-office.chartcolorstyle+xml"/>
  <Override PartName="/word/charts/style5.xml" ContentType="application/vnd.ms-office.chartstyle+xml"/>
  <Override PartName="/word/charts/colors5.xml" ContentType="application/vnd.ms-office.chartcolorstyle+xml"/>
  <Override PartName="/word/charts/style6.xml" ContentType="application/vnd.ms-office.chartstyle+xml"/>
  <Override PartName="/word/charts/colors6.xml" ContentType="application/vnd.ms-office.chartcolorsty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81" w:rsidRDefault="004F4F81" w:rsidP="00C157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6"/>
      </w:tblGrid>
      <w:tr w:rsidR="004F4F81" w:rsidRPr="003A5C18" w:rsidTr="000566C0">
        <w:trPr>
          <w:trHeight w:val="2742"/>
          <w:jc w:val="center"/>
        </w:trPr>
        <w:tc>
          <w:tcPr>
            <w:tcW w:w="9671" w:type="dxa"/>
          </w:tcPr>
          <w:p w:rsidR="004F4F81" w:rsidRPr="003A5C18" w:rsidRDefault="004F4F81" w:rsidP="008515C8">
            <w:pPr>
              <w:pStyle w:val="NoSpacing"/>
              <w:jc w:val="center"/>
              <w:rPr>
                <w:rFonts w:ascii="Times New Roman" w:hAnsi="Times New Roman"/>
                <w:caps/>
              </w:rPr>
            </w:pPr>
            <w:r w:rsidRPr="0011383E">
              <w:rPr>
                <w:noProof/>
              </w:rPr>
              <w:drawing>
                <wp:inline distT="0" distB="0" distL="0" distR="0" wp14:anchorId="3D2F10E3" wp14:editId="20C09924">
                  <wp:extent cx="2321560" cy="1057275"/>
                  <wp:effectExtent l="0" t="0" r="2540" b="9525"/>
                  <wp:docPr id="2" name="Picture 2" descr="cid:image001.png@01CFE3C7.FA7EE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01.png@01CFE3C7.FA7EE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F81" w:rsidRPr="0041124C" w:rsidTr="000566C0">
        <w:trPr>
          <w:trHeight w:val="1371"/>
          <w:jc w:val="center"/>
        </w:trPr>
        <w:tc>
          <w:tcPr>
            <w:tcW w:w="9671" w:type="dxa"/>
            <w:tcBorders>
              <w:bottom w:val="single" w:sz="4" w:space="0" w:color="4F81BD"/>
            </w:tcBorders>
            <w:vAlign w:val="center"/>
          </w:tcPr>
          <w:p w:rsidR="004F4F81" w:rsidRPr="000C23FA" w:rsidRDefault="00595740" w:rsidP="008515C8">
            <w:pPr>
              <w:pStyle w:val="NoSpacing"/>
              <w:jc w:val="center"/>
              <w:rPr>
                <w:rFonts w:ascii="Times New Roman" w:hAnsi="Times New Roman"/>
                <w:sz w:val="44"/>
                <w:szCs w:val="44"/>
                <w:lang w:val="fr-FR"/>
              </w:rPr>
            </w:pPr>
            <w:r>
              <w:rPr>
                <w:rFonts w:ascii="Times New Roman" w:hAnsi="Times New Roman"/>
                <w:sz w:val="44"/>
                <w:szCs w:val="44"/>
                <w:lang w:val="fr-FR"/>
              </w:rPr>
              <w:t>Rapport</w:t>
            </w:r>
            <w:r w:rsidR="004F4F81" w:rsidRPr="000C23FA">
              <w:rPr>
                <w:rFonts w:ascii="Times New Roman" w:hAnsi="Times New Roman"/>
                <w:sz w:val="44"/>
                <w:szCs w:val="44"/>
                <w:lang w:val="fr-FR"/>
              </w:rPr>
              <w:t xml:space="preserve"> </w:t>
            </w:r>
            <w:r w:rsidR="000C23FA" w:rsidRPr="000C23FA">
              <w:rPr>
                <w:rFonts w:ascii="Times New Roman" w:hAnsi="Times New Roman"/>
                <w:sz w:val="44"/>
                <w:szCs w:val="44"/>
                <w:lang w:val="fr-FR"/>
              </w:rPr>
              <w:t xml:space="preserve">de </w:t>
            </w:r>
            <w:r>
              <w:rPr>
                <w:rFonts w:ascii="Times New Roman" w:hAnsi="Times New Roman"/>
                <w:sz w:val="44"/>
                <w:szCs w:val="44"/>
                <w:lang w:val="fr-FR"/>
              </w:rPr>
              <w:t>l’enquête « </w:t>
            </w:r>
            <w:r w:rsidR="000C23FA" w:rsidRPr="000C23FA">
              <w:rPr>
                <w:rFonts w:ascii="Times New Roman" w:hAnsi="Times New Roman"/>
                <w:sz w:val="44"/>
                <w:szCs w:val="44"/>
                <w:lang w:val="fr-FR"/>
              </w:rPr>
              <w:t>Marché location de maison</w:t>
            </w:r>
            <w:r>
              <w:rPr>
                <w:rFonts w:ascii="Times New Roman" w:hAnsi="Times New Roman"/>
                <w:sz w:val="44"/>
                <w:szCs w:val="44"/>
                <w:lang w:val="fr-FR"/>
              </w:rPr>
              <w:t> »</w:t>
            </w:r>
          </w:p>
        </w:tc>
      </w:tr>
      <w:tr w:rsidR="004F4F81" w:rsidRPr="003A5C18" w:rsidTr="000566C0">
        <w:trPr>
          <w:trHeight w:val="685"/>
          <w:jc w:val="center"/>
        </w:trPr>
        <w:tc>
          <w:tcPr>
            <w:tcW w:w="9671" w:type="dxa"/>
            <w:tcBorders>
              <w:top w:val="single" w:sz="4" w:space="0" w:color="4F81BD"/>
            </w:tcBorders>
            <w:vAlign w:val="center"/>
          </w:tcPr>
          <w:p w:rsidR="004F4F81" w:rsidRPr="003A5C18" w:rsidRDefault="000C23FA" w:rsidP="008515C8">
            <w:pPr>
              <w:pStyle w:val="NoSpacing"/>
              <w:jc w:val="center"/>
              <w:rPr>
                <w:rFonts w:ascii="Times New Roman" w:hAnsi="Times New Roman"/>
                <w:sz w:val="44"/>
                <w:szCs w:val="44"/>
                <w:lang w:val="fr-FR"/>
              </w:rPr>
            </w:pPr>
            <w:r>
              <w:rPr>
                <w:rFonts w:ascii="Times New Roman" w:hAnsi="Times New Roman"/>
                <w:sz w:val="44"/>
                <w:szCs w:val="44"/>
                <w:lang w:val="fr-FR"/>
              </w:rPr>
              <w:t>Sud / Port-Salut</w:t>
            </w:r>
          </w:p>
        </w:tc>
      </w:tr>
      <w:tr w:rsidR="004F4F81" w:rsidRPr="003A5C18" w:rsidTr="000566C0">
        <w:trPr>
          <w:trHeight w:val="342"/>
          <w:jc w:val="center"/>
        </w:trPr>
        <w:tc>
          <w:tcPr>
            <w:tcW w:w="9671" w:type="dxa"/>
            <w:vAlign w:val="center"/>
          </w:tcPr>
          <w:p w:rsidR="004F4F81" w:rsidRPr="003A5C18" w:rsidRDefault="004F4F81" w:rsidP="008515C8">
            <w:pPr>
              <w:pStyle w:val="NoSpacing"/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4F4F81" w:rsidRPr="003A5C18" w:rsidTr="000566C0">
        <w:trPr>
          <w:trHeight w:val="342"/>
          <w:jc w:val="center"/>
        </w:trPr>
        <w:tc>
          <w:tcPr>
            <w:tcW w:w="9671" w:type="dxa"/>
            <w:vAlign w:val="center"/>
          </w:tcPr>
          <w:p w:rsidR="004F4F81" w:rsidRPr="00FC5C20" w:rsidRDefault="004F4F81" w:rsidP="008515C8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</w:p>
          <w:p w:rsidR="004F4F81" w:rsidRPr="00FC5C20" w:rsidRDefault="00EF5FF6" w:rsidP="007B38DC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C5C20">
              <w:t xml:space="preserve"> </w:t>
            </w:r>
            <w:r w:rsidR="007B38DC" w:rsidRPr="00FC5C20">
              <w:t xml:space="preserve">                          </w:t>
            </w:r>
            <w:r w:rsidRPr="00FC5C20">
              <w:t xml:space="preserve">   </w:t>
            </w:r>
          </w:p>
          <w:p w:rsidR="004F4F81" w:rsidRPr="00FC5C20" w:rsidRDefault="00EF5FF6" w:rsidP="00EF5FF6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C5C20">
              <w:rPr>
                <w:rFonts w:ascii="Times New Roman" w:hAnsi="Times New Roman"/>
                <w:b/>
                <w:bCs/>
              </w:rPr>
              <w:t xml:space="preserve">                     </w:t>
            </w:r>
          </w:p>
          <w:p w:rsidR="000C23FA" w:rsidRDefault="008D6BC3" w:rsidP="008D6BC3">
            <w:pPr>
              <w:pStyle w:val="NoSpacing"/>
              <w:rPr>
                <w:noProof/>
              </w:rPr>
            </w:pPr>
            <w:r w:rsidRPr="00FC5C20">
              <w:rPr>
                <w:rFonts w:ascii="Times New Roman" w:hAnsi="Times New Roman"/>
                <w:b/>
                <w:bCs/>
              </w:rPr>
              <w:t xml:space="preserve">   </w:t>
            </w:r>
            <w:r w:rsidR="007B38DC" w:rsidRPr="00FC5C20">
              <w:rPr>
                <w:rFonts w:ascii="Times New Roman" w:hAnsi="Times New Roman"/>
                <w:b/>
                <w:bCs/>
              </w:rPr>
              <w:t xml:space="preserve">                      </w:t>
            </w:r>
            <w:r w:rsidRPr="00FC5C20">
              <w:rPr>
                <w:rFonts w:ascii="Times New Roman" w:hAnsi="Times New Roman"/>
                <w:b/>
                <w:bCs/>
              </w:rPr>
              <w:t xml:space="preserve">  </w:t>
            </w: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Pr="00577A1A" w:rsidRDefault="00577A1A" w:rsidP="00577A1A">
            <w:pPr>
              <w:pStyle w:val="NoSpacing"/>
              <w:jc w:val="center"/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</w:pPr>
            <w:r w:rsidRPr="00577A1A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t>SALVAGE TO SHELTER</w:t>
            </w: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566C0" w:rsidRDefault="000566C0" w:rsidP="008D6BC3">
            <w:pPr>
              <w:pStyle w:val="NoSpacing"/>
              <w:rPr>
                <w:noProof/>
              </w:rPr>
            </w:pPr>
          </w:p>
          <w:p w:rsidR="000566C0" w:rsidRDefault="000566C0" w:rsidP="008D6BC3">
            <w:pPr>
              <w:pStyle w:val="NoSpacing"/>
              <w:rPr>
                <w:noProof/>
              </w:rPr>
            </w:pPr>
          </w:p>
          <w:p w:rsidR="000566C0" w:rsidRDefault="000566C0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0C23FA" w:rsidRDefault="000C23FA" w:rsidP="008D6BC3">
            <w:pPr>
              <w:pStyle w:val="NoSpacing"/>
              <w:rPr>
                <w:noProof/>
              </w:rPr>
            </w:pPr>
          </w:p>
          <w:p w:rsidR="004F4F81" w:rsidRPr="00FC5C20" w:rsidRDefault="008D6BC3" w:rsidP="008D6BC3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FC5C20">
              <w:rPr>
                <w:rFonts w:ascii="Times New Roman" w:hAnsi="Times New Roman"/>
                <w:b/>
                <w:bCs/>
              </w:rPr>
              <w:t xml:space="preserve">      </w:t>
            </w:r>
            <w:r w:rsidR="001B17D8" w:rsidRPr="00FC5C20">
              <w:rPr>
                <w:rFonts w:ascii="Times New Roman" w:hAnsi="Times New Roman"/>
                <w:b/>
                <w:bCs/>
              </w:rPr>
              <w:t xml:space="preserve"> </w:t>
            </w:r>
            <w:r w:rsidRPr="00FC5C20">
              <w:rPr>
                <w:rFonts w:ascii="Times New Roman" w:hAnsi="Times New Roman"/>
                <w:b/>
                <w:bCs/>
              </w:rPr>
              <w:t xml:space="preserve">           </w:t>
            </w:r>
            <w:r w:rsidR="001B17D8" w:rsidRPr="00FC5C20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F4F81" w:rsidRPr="00FC5C20" w:rsidRDefault="004F4F81" w:rsidP="008515C8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</w:p>
          <w:p w:rsidR="004F4F81" w:rsidRPr="00552DED" w:rsidRDefault="001B17D8" w:rsidP="00552DED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5C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4F4F81" w:rsidRPr="00FC5C20">
              <w:rPr>
                <w:rFonts w:ascii="Times New Roman" w:hAnsi="Times New Roman"/>
                <w:b/>
                <w:bCs/>
                <w:sz w:val="24"/>
                <w:szCs w:val="24"/>
              </w:rPr>
              <w:t>MEAL</w:t>
            </w:r>
            <w:r w:rsidR="00772583" w:rsidRPr="00FC5C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="00772583" w:rsidRPr="00FC5C20">
              <w:rPr>
                <w:rFonts w:ascii="Times New Roman" w:hAnsi="Times New Roman"/>
                <w:b/>
                <w:bCs/>
                <w:sz w:val="24"/>
                <w:szCs w:val="24"/>
              </w:rPr>
              <w:t>Cayes</w:t>
            </w:r>
            <w:proofErr w:type="spellEnd"/>
          </w:p>
        </w:tc>
      </w:tr>
      <w:tr w:rsidR="004F4F81" w:rsidRPr="003A5C18" w:rsidTr="000566C0">
        <w:trPr>
          <w:trHeight w:val="342"/>
          <w:jc w:val="center"/>
        </w:trPr>
        <w:tc>
          <w:tcPr>
            <w:tcW w:w="9671" w:type="dxa"/>
            <w:vAlign w:val="center"/>
          </w:tcPr>
          <w:p w:rsidR="004F4F81" w:rsidRDefault="00552DED" w:rsidP="00552DED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                                                                                   </w:t>
            </w:r>
            <w:proofErr w:type="spellStart"/>
            <w:r w:rsidR="000C23FA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="00C81F80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="00C81F80">
              <w:rPr>
                <w:rFonts w:ascii="Leelawadee" w:hAnsi="Leelawadee" w:cs="Leelawadee"/>
                <w:b/>
                <w:bCs/>
                <w:sz w:val="24"/>
                <w:szCs w:val="24"/>
              </w:rPr>
              <w:t>û</w:t>
            </w:r>
            <w:r w:rsidR="000C23FA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proofErr w:type="spellEnd"/>
            <w:r w:rsidR="004F4F81" w:rsidRPr="008D6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2017</w:t>
            </w:r>
          </w:p>
          <w:p w:rsidR="000C23FA" w:rsidRPr="008D6BC3" w:rsidRDefault="000C23FA" w:rsidP="004F4F81">
            <w:pPr>
              <w:pStyle w:val="NoSpacing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17D8" w:rsidRPr="003A5C18" w:rsidTr="000566C0">
        <w:trPr>
          <w:trHeight w:val="342"/>
          <w:jc w:val="center"/>
        </w:trPr>
        <w:tc>
          <w:tcPr>
            <w:tcW w:w="9671" w:type="dxa"/>
            <w:vAlign w:val="center"/>
          </w:tcPr>
          <w:p w:rsidR="001B17D8" w:rsidRDefault="001B17D8" w:rsidP="004F4F81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552DED" w:rsidRPr="003A5C18" w:rsidTr="000566C0">
        <w:trPr>
          <w:trHeight w:val="342"/>
          <w:jc w:val="center"/>
        </w:trPr>
        <w:tc>
          <w:tcPr>
            <w:tcW w:w="9671" w:type="dxa"/>
            <w:vAlign w:val="center"/>
          </w:tcPr>
          <w:p w:rsidR="00552DED" w:rsidRDefault="00552DED" w:rsidP="004F4F81">
            <w:pPr>
              <w:pStyle w:val="NoSpacing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  <w:tr w:rsidR="00552DED" w:rsidRPr="003A5C18" w:rsidTr="000566C0">
        <w:trPr>
          <w:trHeight w:val="342"/>
          <w:jc w:val="center"/>
        </w:trPr>
        <w:tc>
          <w:tcPr>
            <w:tcW w:w="9671" w:type="dxa"/>
            <w:vAlign w:val="center"/>
          </w:tcPr>
          <w:p w:rsidR="00552DED" w:rsidRDefault="00552DED" w:rsidP="000566C0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</w:tbl>
    <w:p w:rsidR="004F4F81" w:rsidRPr="00B46B28" w:rsidRDefault="004F4F81" w:rsidP="00CA70F8">
      <w:pPr>
        <w:pStyle w:val="TOCHeading"/>
        <w:ind w:firstLine="720"/>
        <w:jc w:val="center"/>
        <w:rPr>
          <w:rFonts w:ascii="Times New Roman" w:hAnsi="Times New Roman"/>
          <w:lang w:val="fr-FR"/>
        </w:rPr>
      </w:pPr>
      <w:r w:rsidRPr="00B46B28">
        <w:rPr>
          <w:rFonts w:ascii="Times New Roman" w:hAnsi="Times New Roman"/>
          <w:lang w:val="fr-FR"/>
        </w:rPr>
        <w:lastRenderedPageBreak/>
        <w:t>TABLE DES MATIERES</w:t>
      </w:r>
      <w:r w:rsidRPr="003A5C18">
        <w:rPr>
          <w:rFonts w:ascii="Times New Roman" w:eastAsia="Calibri" w:hAnsi="Times New Roman"/>
        </w:rPr>
        <w:fldChar w:fldCharType="begin"/>
      </w:r>
      <w:r w:rsidRPr="00B46B28">
        <w:rPr>
          <w:rFonts w:ascii="Times New Roman" w:hAnsi="Times New Roman"/>
          <w:lang w:val="fr-FR"/>
        </w:rPr>
        <w:instrText xml:space="preserve"> TOC \o "1-3" \h \z \u </w:instrText>
      </w:r>
      <w:r w:rsidRPr="003A5C18">
        <w:rPr>
          <w:rFonts w:ascii="Times New Roman" w:eastAsia="Calibri" w:hAnsi="Times New Roman"/>
        </w:rPr>
        <w:fldChar w:fldCharType="separate"/>
      </w:r>
    </w:p>
    <w:p w:rsidR="00F442CF" w:rsidRPr="00B46B28" w:rsidRDefault="00E82092" w:rsidP="00F442CF">
      <w:pPr>
        <w:pStyle w:val="TOC1"/>
        <w:tabs>
          <w:tab w:val="left" w:pos="440"/>
          <w:tab w:val="right" w:pos="9350"/>
        </w:tabs>
        <w:rPr>
          <w:rFonts w:ascii="Times New Roman" w:eastAsia="Times New Roman" w:hAnsi="Times New Roman"/>
          <w:b w:val="0"/>
          <w:bCs w:val="0"/>
          <w:caps w:val="0"/>
          <w:noProof/>
          <w:sz w:val="22"/>
          <w:szCs w:val="22"/>
          <w:lang w:val="fr-FR"/>
        </w:rPr>
      </w:pPr>
      <w:hyperlink w:anchor="_Toc454976342" w:history="1">
        <w:r w:rsidR="00F442CF" w:rsidRPr="003A5C18">
          <w:rPr>
            <w:rStyle w:val="Hyperlink"/>
            <w:rFonts w:ascii="Times New Roman" w:hAnsi="Times New Roman"/>
            <w:noProof/>
            <w:lang w:val="fr-FR"/>
          </w:rPr>
          <w:t>I.</w:t>
        </w:r>
        <w:r w:rsidR="00F442CF" w:rsidRPr="00B46B28">
          <w:rPr>
            <w:rFonts w:ascii="Times New Roman" w:eastAsia="Times New Roman" w:hAnsi="Times New Roman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F442CF" w:rsidRPr="003A5C18">
          <w:rPr>
            <w:rStyle w:val="Hyperlink"/>
            <w:rFonts w:ascii="Times New Roman" w:hAnsi="Times New Roman"/>
            <w:noProof/>
            <w:lang w:val="fr-FR"/>
          </w:rPr>
          <w:t>INTRODUCTION</w:t>
        </w:r>
        <w:r w:rsidR="00F442CF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EF5C91">
        <w:rPr>
          <w:rFonts w:ascii="Times New Roman" w:hAnsi="Times New Roman"/>
          <w:noProof/>
          <w:lang w:val="fr-FR"/>
        </w:rPr>
        <w:t>3</w:t>
      </w:r>
    </w:p>
    <w:p w:rsidR="004F4F81" w:rsidRPr="00B46B28" w:rsidRDefault="00E82092" w:rsidP="004F4F81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3" w:history="1">
        <w:r w:rsidR="004F4F81" w:rsidRPr="003A5C18">
          <w:rPr>
            <w:rStyle w:val="Hyperlink"/>
            <w:rFonts w:ascii="Times New Roman" w:hAnsi="Times New Roman"/>
            <w:noProof/>
            <w:lang w:val="fr-FR"/>
          </w:rPr>
          <w:t>1.1.</w:t>
        </w:r>
        <w:r w:rsidR="004F4F81" w:rsidRPr="00B46B28">
          <w:rPr>
            <w:rFonts w:ascii="Times New Roman" w:eastAsia="Times New Roman" w:hAnsi="Times New Roman"/>
            <w:b w:val="0"/>
            <w:bCs w:val="0"/>
            <w:noProof/>
            <w:sz w:val="22"/>
            <w:szCs w:val="22"/>
            <w:lang w:val="fr-FR"/>
          </w:rPr>
          <w:tab/>
        </w:r>
        <w:r w:rsidR="00EF5C91">
          <w:rPr>
            <w:rFonts w:ascii="Times New Roman" w:eastAsia="Times New Roman" w:hAnsi="Times New Roman"/>
            <w:b w:val="0"/>
            <w:bCs w:val="0"/>
            <w:noProof/>
            <w:sz w:val="22"/>
            <w:szCs w:val="22"/>
            <w:lang w:val="fr-FR"/>
          </w:rPr>
          <w:t xml:space="preserve">Mise en </w:t>
        </w:r>
        <w:r w:rsidR="004F4F81" w:rsidRPr="003A5C18">
          <w:rPr>
            <w:rStyle w:val="Hyperlink"/>
            <w:rFonts w:ascii="Times New Roman" w:hAnsi="Times New Roman"/>
            <w:noProof/>
            <w:lang w:val="fr-FR"/>
          </w:rPr>
          <w:t>Contexte</w:t>
        </w:r>
        <w:r w:rsidR="004F4F81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EF5C91">
        <w:rPr>
          <w:rFonts w:ascii="Times New Roman" w:hAnsi="Times New Roman"/>
          <w:noProof/>
          <w:lang w:val="fr-FR"/>
        </w:rPr>
        <w:t>3</w:t>
      </w:r>
    </w:p>
    <w:p w:rsidR="004B255E" w:rsidRPr="00F754A5" w:rsidRDefault="00E82092" w:rsidP="00F754A5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4F4F81" w:rsidRPr="003A5C18">
          <w:rPr>
            <w:rStyle w:val="Hyperlink"/>
            <w:rFonts w:ascii="Times New Roman" w:hAnsi="Times New Roman"/>
            <w:noProof/>
            <w:lang w:val="fr-FR"/>
          </w:rPr>
          <w:t>1.2.</w:t>
        </w:r>
        <w:r w:rsidR="004F4F81" w:rsidRPr="00B46B28">
          <w:rPr>
            <w:rFonts w:ascii="Times New Roman" w:eastAsia="Times New Roman" w:hAnsi="Times New Roman"/>
            <w:b w:val="0"/>
            <w:bCs w:val="0"/>
            <w:noProof/>
            <w:sz w:val="22"/>
            <w:szCs w:val="22"/>
            <w:lang w:val="fr-FR"/>
          </w:rPr>
          <w:tab/>
        </w:r>
        <w:r w:rsidR="00EF5C91">
          <w:rPr>
            <w:rStyle w:val="Hyperlink"/>
            <w:rFonts w:ascii="Times New Roman" w:hAnsi="Times New Roman"/>
            <w:noProof/>
            <w:lang w:val="fr-FR"/>
          </w:rPr>
          <w:t>Objectifs de l’enquete marché location de maison</w:t>
        </w:r>
        <w:r w:rsidR="004F4F81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EF5C91">
        <w:rPr>
          <w:rFonts w:ascii="Times New Roman" w:hAnsi="Times New Roman"/>
          <w:noProof/>
          <w:lang w:val="fr-FR"/>
        </w:rPr>
        <w:t>3</w:t>
      </w:r>
    </w:p>
    <w:p w:rsidR="004F4F81" w:rsidRPr="00B46B28" w:rsidRDefault="00E82092" w:rsidP="004F4F81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4" w:history="1">
        <w:r w:rsidR="005F5DF6">
          <w:rPr>
            <w:rStyle w:val="Hyperlink"/>
            <w:rFonts w:ascii="Times New Roman" w:hAnsi="Times New Roman"/>
            <w:noProof/>
            <w:lang w:val="fr-FR"/>
          </w:rPr>
          <w:t>1.3</w:t>
        </w:r>
        <w:r w:rsidR="004F4F81" w:rsidRPr="003A5C18">
          <w:rPr>
            <w:rStyle w:val="Hyperlink"/>
            <w:rFonts w:ascii="Times New Roman" w:hAnsi="Times New Roman"/>
            <w:noProof/>
            <w:lang w:val="fr-FR"/>
          </w:rPr>
          <w:t>.</w:t>
        </w:r>
        <w:r w:rsidR="004F4F81" w:rsidRPr="00B46B28">
          <w:rPr>
            <w:rFonts w:ascii="Times New Roman" w:eastAsia="Times New Roman" w:hAnsi="Times New Roman"/>
            <w:b w:val="0"/>
            <w:bCs w:val="0"/>
            <w:noProof/>
            <w:sz w:val="22"/>
            <w:szCs w:val="22"/>
            <w:lang w:val="fr-FR"/>
          </w:rPr>
          <w:tab/>
        </w:r>
        <w:r w:rsidR="000377FD">
          <w:rPr>
            <w:rStyle w:val="Hyperlink"/>
            <w:rFonts w:ascii="Times New Roman" w:hAnsi="Times New Roman"/>
            <w:noProof/>
            <w:lang w:val="fr-FR"/>
          </w:rPr>
          <w:t>Méthode de collecte de données</w:t>
        </w:r>
        <w:r w:rsidR="004F4F81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377FD">
        <w:rPr>
          <w:rFonts w:ascii="Times New Roman" w:hAnsi="Times New Roman"/>
          <w:noProof/>
          <w:lang w:val="fr-FR"/>
        </w:rPr>
        <w:t>4</w:t>
      </w:r>
    </w:p>
    <w:p w:rsidR="00F754A5" w:rsidRPr="00F06E8D" w:rsidRDefault="000472D6" w:rsidP="004F4F81">
      <w:pPr>
        <w:pStyle w:val="TOC2"/>
        <w:tabs>
          <w:tab w:val="left" w:pos="660"/>
          <w:tab w:val="right" w:pos="9350"/>
        </w:tabs>
        <w:rPr>
          <w:lang w:val="fr-FR"/>
        </w:rPr>
      </w:pPr>
      <w:r>
        <w:tab/>
      </w:r>
      <w:hyperlink w:anchor="_Toc454976343" w:history="1">
        <w:r w:rsidR="00F754A5">
          <w:rPr>
            <w:rStyle w:val="Hyperlink"/>
            <w:rFonts w:ascii="Times New Roman" w:hAnsi="Times New Roman"/>
            <w:noProof/>
            <w:lang w:val="fr-FR"/>
          </w:rPr>
          <w:t>1.3.1.     Zone de l’étude</w:t>
        </w:r>
        <w:r w:rsidR="00F754A5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926026">
        <w:rPr>
          <w:rFonts w:ascii="Times New Roman" w:hAnsi="Times New Roman"/>
          <w:noProof/>
          <w:lang w:val="fr-FR"/>
        </w:rPr>
        <w:t>4</w:t>
      </w:r>
    </w:p>
    <w:p w:rsidR="00F754A5" w:rsidRPr="00F06E8D" w:rsidRDefault="000472D6" w:rsidP="004F4F81">
      <w:pPr>
        <w:pStyle w:val="TOC2"/>
        <w:tabs>
          <w:tab w:val="left" w:pos="660"/>
          <w:tab w:val="right" w:pos="9350"/>
        </w:tabs>
        <w:rPr>
          <w:lang w:val="fr-FR"/>
        </w:rPr>
      </w:pPr>
      <w:r>
        <w:tab/>
      </w:r>
      <w:hyperlink w:anchor="_Toc454976343" w:history="1">
        <w:r w:rsidR="00F754A5">
          <w:rPr>
            <w:rStyle w:val="Hyperlink"/>
            <w:rFonts w:ascii="Times New Roman" w:hAnsi="Times New Roman"/>
            <w:noProof/>
            <w:lang w:val="fr-FR"/>
          </w:rPr>
          <w:t>1.3.2.     Échantillonage</w:t>
        </w:r>
        <w:r w:rsidR="00F754A5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926026">
        <w:rPr>
          <w:rFonts w:ascii="Times New Roman" w:hAnsi="Times New Roman"/>
          <w:noProof/>
          <w:lang w:val="fr-FR"/>
        </w:rPr>
        <w:t>4</w:t>
      </w:r>
    </w:p>
    <w:p w:rsidR="009249B3" w:rsidRDefault="00E82092" w:rsidP="004F4F81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9249B3">
          <w:rPr>
            <w:rStyle w:val="Hyperlink"/>
            <w:rFonts w:ascii="Times New Roman" w:hAnsi="Times New Roman"/>
            <w:noProof/>
            <w:lang w:val="fr-FR"/>
          </w:rPr>
          <w:t>Tableau 1 : Répartition du nombre de locataires et propriétaires interviewés</w:t>
        </w:r>
        <w:r w:rsidR="009249B3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CA70F8">
        <w:rPr>
          <w:rFonts w:ascii="Times New Roman" w:hAnsi="Times New Roman"/>
          <w:noProof/>
          <w:lang w:val="fr-FR"/>
        </w:rPr>
        <w:t>5</w:t>
      </w:r>
    </w:p>
    <w:p w:rsidR="004F4F81" w:rsidRPr="00B46B28" w:rsidRDefault="00E82092" w:rsidP="004F4F81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Graphe 1 : Pourcentage de locataires et propriétaires interviewés</w:t>
        </w:r>
        <w:r w:rsidR="004F4F81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CA70F8">
        <w:rPr>
          <w:rFonts w:ascii="Times New Roman" w:hAnsi="Times New Roman"/>
          <w:noProof/>
          <w:lang w:val="fr-FR"/>
        </w:rPr>
        <w:t>5</w:t>
      </w:r>
    </w:p>
    <w:p w:rsidR="004F4F81" w:rsidRPr="00B46B28" w:rsidRDefault="00E82092" w:rsidP="004F4F81">
      <w:pPr>
        <w:pStyle w:val="TOC1"/>
        <w:tabs>
          <w:tab w:val="left" w:pos="660"/>
          <w:tab w:val="right" w:pos="9350"/>
        </w:tabs>
        <w:rPr>
          <w:rFonts w:ascii="Times New Roman" w:hAnsi="Times New Roman"/>
          <w:lang w:val="fr-FR"/>
        </w:rPr>
      </w:pPr>
      <w:hyperlink w:anchor="_Toc454976345" w:history="1">
        <w:r w:rsidR="004F4F81" w:rsidRPr="003A5C18">
          <w:rPr>
            <w:rStyle w:val="Hyperlink"/>
            <w:rFonts w:ascii="Times New Roman" w:hAnsi="Times New Roman"/>
            <w:noProof/>
            <w:lang w:val="fr-FR"/>
          </w:rPr>
          <w:t>II.</w:t>
        </w:r>
        <w:r w:rsidR="004F4F81" w:rsidRPr="00B46B28">
          <w:rPr>
            <w:rFonts w:ascii="Times New Roman" w:eastAsia="Times New Roman" w:hAnsi="Times New Roman"/>
            <w:b w:val="0"/>
            <w:bCs w:val="0"/>
            <w:caps w:val="0"/>
            <w:noProof/>
            <w:sz w:val="22"/>
            <w:szCs w:val="22"/>
            <w:lang w:val="fr-FR"/>
          </w:rPr>
          <w:tab/>
        </w:r>
        <w:r w:rsidR="005F5DF6">
          <w:rPr>
            <w:rStyle w:val="Hyperlink"/>
            <w:rFonts w:ascii="Times New Roman" w:hAnsi="Times New Roman"/>
            <w:noProof/>
            <w:lang w:val="fr-FR"/>
          </w:rPr>
          <w:t>Resultats de l’enquete</w:t>
        </w:r>
        <w:r w:rsidR="004F4F81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CA70F8">
        <w:rPr>
          <w:rFonts w:ascii="Times New Roman" w:hAnsi="Times New Roman"/>
          <w:noProof/>
          <w:lang w:val="fr-FR"/>
        </w:rPr>
        <w:t>6</w:t>
      </w:r>
    </w:p>
    <w:p w:rsidR="008515C8" w:rsidRPr="00B46B28" w:rsidRDefault="00E82092" w:rsidP="00775A25">
      <w:pPr>
        <w:pStyle w:val="TOC2"/>
        <w:tabs>
          <w:tab w:val="left" w:pos="660"/>
          <w:tab w:val="right" w:pos="9350"/>
        </w:tabs>
        <w:rPr>
          <w:rFonts w:ascii="Times New Roman" w:hAnsi="Times New Roman"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2.1. Position géographique des maisons ciblées</w:t>
        </w:r>
        <w:r w:rsidR="004277AE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CA70F8">
        <w:rPr>
          <w:rFonts w:ascii="Times New Roman" w:hAnsi="Times New Roman"/>
          <w:noProof/>
          <w:lang w:val="fr-FR"/>
        </w:rPr>
        <w:t>6</w:t>
      </w:r>
    </w:p>
    <w:p w:rsidR="00775A25" w:rsidRDefault="00E82092" w:rsidP="00775A25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Graphe 2 </w:t>
        </w:r>
        <w:r w:rsidR="00775A25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CA70F8">
        <w:rPr>
          <w:rFonts w:ascii="Times New Roman" w:hAnsi="Times New Roman"/>
          <w:noProof/>
          <w:lang w:val="fr-FR"/>
        </w:rPr>
        <w:t>6</w:t>
      </w:r>
    </w:p>
    <w:p w:rsidR="000377FD" w:rsidRDefault="00E82092" w:rsidP="000377FD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2.2. Niveau de prix du loyer par année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CA70F8">
        <w:rPr>
          <w:rFonts w:ascii="Times New Roman" w:hAnsi="Times New Roman"/>
          <w:noProof/>
          <w:lang w:val="fr-FR"/>
        </w:rPr>
        <w:t>6</w:t>
      </w:r>
    </w:p>
    <w:p w:rsidR="008E7328" w:rsidRPr="008E7328" w:rsidRDefault="00E82092" w:rsidP="000377FD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4" w:history="1">
        <w:r w:rsidR="008E7328">
          <w:rPr>
            <w:rStyle w:val="Hyperlink"/>
            <w:rFonts w:ascii="Times New Roman" w:hAnsi="Times New Roman"/>
            <w:noProof/>
            <w:lang w:val="fr-FR"/>
          </w:rPr>
          <w:t>Tableau 3 : Répartition des prix annuel du loyer par chambre de maison</w:t>
        </w:r>
        <w:r w:rsidR="008E7328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AA6354">
        <w:rPr>
          <w:rFonts w:ascii="Times New Roman" w:hAnsi="Times New Roman"/>
          <w:noProof/>
          <w:lang w:val="fr-FR"/>
        </w:rPr>
        <w:t>7</w:t>
      </w:r>
    </w:p>
    <w:p w:rsidR="000377FD" w:rsidRPr="00B46B28" w:rsidRDefault="00E82092" w:rsidP="000377FD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Graphe 3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AA6354">
        <w:rPr>
          <w:rFonts w:ascii="Times New Roman" w:hAnsi="Times New Roman"/>
          <w:noProof/>
          <w:lang w:val="fr-FR"/>
        </w:rPr>
        <w:t>8</w:t>
      </w:r>
    </w:p>
    <w:p w:rsidR="000377FD" w:rsidRPr="00B46B28" w:rsidRDefault="00E82092" w:rsidP="000377FD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2.3. Evolution des prix du loyer suite au passage de l’ouragan Matthew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8</w:t>
      </w:r>
    </w:p>
    <w:p w:rsidR="009249B3" w:rsidRPr="009249B3" w:rsidRDefault="00E82092" w:rsidP="009249B3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0377FD">
          <w:rPr>
            <w:rStyle w:val="Hyperlink"/>
            <w:rFonts w:ascii="Times New Roman" w:hAnsi="Times New Roman"/>
            <w:noProof/>
            <w:lang w:val="fr-FR"/>
          </w:rPr>
          <w:t>Graphe 4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8</w:t>
      </w:r>
    </w:p>
    <w:p w:rsidR="000377FD" w:rsidRDefault="00E82092" w:rsidP="000377FD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DA58F8">
          <w:rPr>
            <w:rStyle w:val="Hyperlink"/>
            <w:rFonts w:ascii="Times New Roman" w:hAnsi="Times New Roman"/>
            <w:noProof/>
            <w:lang w:val="fr-FR"/>
          </w:rPr>
          <w:t>2.4. Typ</w:t>
        </w:r>
        <w:r w:rsidR="009249B3">
          <w:rPr>
            <w:rStyle w:val="Hyperlink"/>
            <w:rFonts w:ascii="Times New Roman" w:hAnsi="Times New Roman"/>
            <w:noProof/>
            <w:lang w:val="fr-FR"/>
          </w:rPr>
          <w:t>e de maisons disponibles à louer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9</w:t>
      </w:r>
    </w:p>
    <w:p w:rsidR="009249B3" w:rsidRDefault="00E82092" w:rsidP="009249B3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9249B3">
          <w:rPr>
            <w:rStyle w:val="Hyperlink"/>
            <w:rFonts w:ascii="Times New Roman" w:hAnsi="Times New Roman"/>
            <w:noProof/>
            <w:lang w:val="fr-FR"/>
          </w:rPr>
          <w:t>Graphe 5</w:t>
        </w:r>
        <w:r w:rsidR="009249B3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9</w:t>
      </w:r>
    </w:p>
    <w:p w:rsidR="009249B3" w:rsidRDefault="00E82092" w:rsidP="009249B3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9249B3">
          <w:rPr>
            <w:rStyle w:val="Hyperlink"/>
            <w:rFonts w:ascii="Times New Roman" w:hAnsi="Times New Roman"/>
            <w:noProof/>
            <w:lang w:val="fr-FR"/>
          </w:rPr>
          <w:t>2.5. Services disponibles dans les maisons identifiées</w:t>
        </w:r>
        <w:r w:rsidR="009249B3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9</w:t>
      </w:r>
    </w:p>
    <w:p w:rsidR="009249B3" w:rsidRPr="004C3CB4" w:rsidRDefault="00E82092" w:rsidP="004C3CB4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9249B3">
          <w:rPr>
            <w:rStyle w:val="Hyperlink"/>
            <w:rFonts w:ascii="Times New Roman" w:hAnsi="Times New Roman"/>
            <w:noProof/>
            <w:lang w:val="fr-FR"/>
          </w:rPr>
          <w:t>Graphe 6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9</w:t>
      </w:r>
    </w:p>
    <w:p w:rsidR="000377FD" w:rsidRPr="004C3CB4" w:rsidRDefault="00E82092" w:rsidP="004C3CB4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4" w:history="1">
        <w:r w:rsidR="009249B3">
          <w:rPr>
            <w:rStyle w:val="Hyperlink"/>
            <w:rFonts w:ascii="Times New Roman" w:hAnsi="Times New Roman"/>
            <w:noProof/>
            <w:lang w:val="fr-FR"/>
          </w:rPr>
          <w:t>2.6. Niveau de dommage des maisons suite au passage de l’ouragan Matthew</w:t>
        </w:r>
        <w:r w:rsidR="000377FD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10</w:t>
      </w:r>
    </w:p>
    <w:p w:rsidR="00CA70F8" w:rsidRDefault="00E82092" w:rsidP="00CA70F8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hyperlink w:anchor="_Toc454976344" w:history="1">
        <w:r w:rsidR="004C3CB4">
          <w:rPr>
            <w:rStyle w:val="Hyperlink"/>
            <w:rFonts w:ascii="Times New Roman" w:hAnsi="Times New Roman"/>
            <w:noProof/>
            <w:lang w:val="fr-FR"/>
          </w:rPr>
          <w:t>Graphe 7</w:t>
        </w:r>
        <w:r w:rsidR="008515C8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10</w:t>
      </w:r>
    </w:p>
    <w:p w:rsidR="00CA70F8" w:rsidRDefault="00E82092" w:rsidP="00CA70F8">
      <w:pPr>
        <w:pStyle w:val="TOC2"/>
        <w:tabs>
          <w:tab w:val="left" w:pos="660"/>
          <w:tab w:val="right" w:pos="9350"/>
        </w:tabs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</w:pPr>
      <w:hyperlink w:anchor="_Toc454976345" w:history="1">
        <w:r w:rsidR="00F340EA" w:rsidRPr="003A5C18">
          <w:rPr>
            <w:rStyle w:val="Hyperlink"/>
            <w:rFonts w:ascii="Times New Roman" w:hAnsi="Times New Roman"/>
            <w:noProof/>
            <w:lang w:val="fr-FR"/>
          </w:rPr>
          <w:t>II</w:t>
        </w:r>
        <w:r w:rsidR="004C3CB4">
          <w:rPr>
            <w:rStyle w:val="Hyperlink"/>
            <w:rFonts w:ascii="Times New Roman" w:hAnsi="Times New Roman"/>
            <w:noProof/>
            <w:lang w:val="fr-FR"/>
          </w:rPr>
          <w:t>I</w:t>
        </w:r>
        <w:r w:rsidR="00F340EA" w:rsidRPr="003A5C18">
          <w:rPr>
            <w:rStyle w:val="Hyperlink"/>
            <w:rFonts w:ascii="Times New Roman" w:hAnsi="Times New Roman"/>
            <w:noProof/>
            <w:lang w:val="fr-FR"/>
          </w:rPr>
          <w:t>.</w:t>
        </w:r>
        <w:r w:rsidR="00CA70F8">
          <w:rPr>
            <w:rFonts w:ascii="Times New Roman" w:eastAsia="Times New Roman" w:hAnsi="Times New Roman"/>
            <w:b w:val="0"/>
            <w:bCs w:val="0"/>
            <w:noProof/>
            <w:sz w:val="22"/>
            <w:szCs w:val="22"/>
            <w:lang w:val="fr-FR"/>
          </w:rPr>
          <w:t xml:space="preserve"> </w:t>
        </w:r>
        <w:r w:rsidR="00F340EA">
          <w:rPr>
            <w:rStyle w:val="Hyperlink"/>
            <w:rFonts w:ascii="Times New Roman" w:hAnsi="Times New Roman"/>
            <w:noProof/>
            <w:lang w:val="fr-FR"/>
          </w:rPr>
          <w:t>Conclusion</w:t>
        </w:r>
        <w:r w:rsidR="00F340EA" w:rsidRPr="00B46B28">
          <w:rPr>
            <w:rFonts w:ascii="Times New Roman" w:hAnsi="Times New Roman"/>
            <w:noProof/>
            <w:webHidden/>
            <w:lang w:val="fr-FR"/>
          </w:rPr>
          <w:tab/>
        </w:r>
      </w:hyperlink>
      <w:r w:rsidR="000472D6">
        <w:rPr>
          <w:rFonts w:ascii="Times New Roman" w:hAnsi="Times New Roman"/>
          <w:noProof/>
          <w:lang w:val="fr-FR"/>
        </w:rPr>
        <w:t>10</w:t>
      </w:r>
      <w:r w:rsidR="00A153FF">
        <w:fldChar w:fldCharType="begin"/>
      </w:r>
      <w:r w:rsidR="00A153FF" w:rsidRPr="00CA70F8">
        <w:rPr>
          <w:lang w:val="fr-FR"/>
        </w:rPr>
        <w:instrText xml:space="preserve"> HYPERLINK \l "_Toc454976342" </w:instrText>
      </w:r>
      <w:r w:rsidR="00A153FF">
        <w:fldChar w:fldCharType="separate"/>
      </w:r>
    </w:p>
    <w:p w:rsidR="004F4F81" w:rsidRPr="008E7328" w:rsidRDefault="00CA70F8" w:rsidP="008E7328">
      <w:pPr>
        <w:pStyle w:val="TOC2"/>
        <w:tabs>
          <w:tab w:val="left" w:pos="660"/>
          <w:tab w:val="right" w:pos="9350"/>
        </w:tabs>
        <w:rPr>
          <w:rFonts w:ascii="Times New Roman" w:hAnsi="Times New Roman"/>
          <w:noProof/>
          <w:lang w:val="fr-FR"/>
        </w:rPr>
      </w:pPr>
      <w:r w:rsidRPr="00CA70F8">
        <w:rPr>
          <w:rFonts w:ascii="Times New Roman" w:eastAsia="Times New Roman" w:hAnsi="Times New Roman"/>
          <w:bCs w:val="0"/>
          <w:noProof/>
          <w:sz w:val="22"/>
          <w:szCs w:val="22"/>
          <w:lang w:val="fr-FR"/>
        </w:rPr>
        <w:t>IV</w:t>
      </w:r>
      <w:r>
        <w:rPr>
          <w:rFonts w:ascii="Times New Roman" w:eastAsia="Times New Roman" w:hAnsi="Times New Roman"/>
          <w:b w:val="0"/>
          <w:bCs w:val="0"/>
          <w:noProof/>
          <w:sz w:val="22"/>
          <w:szCs w:val="22"/>
          <w:lang w:val="fr-FR"/>
        </w:rPr>
        <w:t xml:space="preserve">. </w:t>
      </w:r>
      <w:r w:rsidR="00A223B7">
        <w:rPr>
          <w:rStyle w:val="Hyperlink"/>
          <w:rFonts w:ascii="Times New Roman" w:hAnsi="Times New Roman"/>
          <w:noProof/>
          <w:lang w:val="fr-FR"/>
        </w:rPr>
        <w:t>Annexe</w:t>
      </w:r>
      <w:r w:rsidR="00A223B7" w:rsidRPr="00B46B28">
        <w:rPr>
          <w:rFonts w:ascii="Times New Roman" w:hAnsi="Times New Roman"/>
          <w:noProof/>
          <w:webHidden/>
          <w:lang w:val="fr-FR"/>
        </w:rPr>
        <w:tab/>
      </w:r>
      <w:r w:rsidR="00A153FF">
        <w:rPr>
          <w:rFonts w:ascii="Times New Roman" w:hAnsi="Times New Roman"/>
          <w:noProof/>
          <w:lang w:val="fr-FR"/>
        </w:rPr>
        <w:fldChar w:fldCharType="end"/>
      </w:r>
      <w:r w:rsidR="000472D6">
        <w:rPr>
          <w:rFonts w:ascii="Times New Roman" w:hAnsi="Times New Roman"/>
          <w:noProof/>
          <w:lang w:val="fr-FR"/>
        </w:rPr>
        <w:t>11</w:t>
      </w:r>
    </w:p>
    <w:p w:rsidR="00853110" w:rsidRPr="00CA70F8" w:rsidRDefault="004F4F81" w:rsidP="00A223B7">
      <w:pPr>
        <w:spacing w:line="360" w:lineRule="auto"/>
        <w:jc w:val="both"/>
        <w:rPr>
          <w:rFonts w:ascii="Times New Roman" w:hAnsi="Times New Roman"/>
          <w:caps/>
          <w:sz w:val="24"/>
          <w:szCs w:val="24"/>
          <w:lang w:val="fr-FR"/>
        </w:rPr>
      </w:pPr>
      <w:r w:rsidRPr="003A5C18">
        <w:rPr>
          <w:rFonts w:ascii="Times New Roman" w:hAnsi="Times New Roman"/>
          <w:caps/>
          <w:sz w:val="24"/>
          <w:szCs w:val="24"/>
        </w:rPr>
        <w:lastRenderedPageBreak/>
        <w:fldChar w:fldCharType="end"/>
      </w:r>
      <w:r w:rsidR="00853110">
        <w:rPr>
          <w:rFonts w:ascii="Times New Roman" w:hAnsi="Times New Roman" w:cs="Times New Roman"/>
          <w:b/>
          <w:sz w:val="24"/>
          <w:szCs w:val="24"/>
          <w:lang w:val="fr-FR"/>
        </w:rPr>
        <w:t>I.- INTRODUCTION</w:t>
      </w:r>
    </w:p>
    <w:p w:rsidR="00A057F4" w:rsidRPr="00792EAF" w:rsidRDefault="00A057F4" w:rsidP="00A057F4">
      <w:pPr>
        <w:spacing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1.1.</w:t>
      </w:r>
      <w:r w:rsidR="0085311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Mise en contexte</w:t>
      </w:r>
    </w:p>
    <w:p w:rsidR="00A057F4" w:rsidRPr="00092729" w:rsidRDefault="00A057F4" w:rsidP="00A057F4">
      <w:pPr>
        <w:pStyle w:val="Comment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Financé par Office of U.S. </w:t>
      </w:r>
      <w:proofErr w:type="spellStart"/>
      <w:r w:rsidRPr="00092729">
        <w:rPr>
          <w:rFonts w:ascii="Times New Roman" w:hAnsi="Times New Roman" w:cs="Times New Roman"/>
          <w:sz w:val="24"/>
          <w:szCs w:val="24"/>
          <w:lang w:val="fr-FR"/>
        </w:rPr>
        <w:t>Foreign</w:t>
      </w:r>
      <w:proofErr w:type="spellEnd"/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92729">
        <w:rPr>
          <w:rFonts w:ascii="Times New Roman" w:hAnsi="Times New Roman" w:cs="Times New Roman"/>
          <w:sz w:val="24"/>
          <w:szCs w:val="24"/>
          <w:lang w:val="fr-FR"/>
        </w:rPr>
        <w:t>Disaster</w:t>
      </w:r>
      <w:proofErr w:type="spellEnd"/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Assistance</w:t>
      </w:r>
      <w:r w:rsidR="002577D3">
        <w:rPr>
          <w:rFonts w:ascii="Times New Roman" w:hAnsi="Times New Roman" w:cs="Times New Roman"/>
          <w:sz w:val="24"/>
          <w:szCs w:val="24"/>
          <w:lang w:val="fr-FR"/>
        </w:rPr>
        <w:t xml:space="preserve"> (OFDA) et exécuté par CRS</w:t>
      </w:r>
      <w:r w:rsidR="00CD5BD4">
        <w:rPr>
          <w:rStyle w:val="FootnoteReference"/>
          <w:rFonts w:ascii="Times New Roman" w:hAnsi="Times New Roman" w:cs="Times New Roman"/>
          <w:sz w:val="24"/>
          <w:szCs w:val="24"/>
          <w:lang w:val="fr-FR"/>
        </w:rPr>
        <w:footnoteReference w:id="1"/>
      </w:r>
      <w:r w:rsidR="002577D3">
        <w:rPr>
          <w:rFonts w:ascii="Times New Roman" w:hAnsi="Times New Roman" w:cs="Times New Roman"/>
          <w:sz w:val="24"/>
          <w:szCs w:val="24"/>
          <w:lang w:val="fr-FR"/>
        </w:rPr>
        <w:t xml:space="preserve"> au dé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partement du Sud plus par</w:t>
      </w:r>
      <w:r w:rsidR="008355BD">
        <w:rPr>
          <w:rFonts w:ascii="Times New Roman" w:hAnsi="Times New Roman" w:cs="Times New Roman"/>
          <w:sz w:val="24"/>
          <w:szCs w:val="24"/>
          <w:lang w:val="fr-FR"/>
        </w:rPr>
        <w:t xml:space="preserve">ticulièrement à la commune de </w:t>
      </w:r>
      <w:proofErr w:type="spellStart"/>
      <w:r w:rsidR="008355BD">
        <w:rPr>
          <w:rFonts w:ascii="Times New Roman" w:hAnsi="Times New Roman" w:cs="Times New Roman"/>
          <w:sz w:val="24"/>
          <w:szCs w:val="24"/>
          <w:lang w:val="fr-FR"/>
        </w:rPr>
        <w:t>Cô</w:t>
      </w:r>
      <w:r w:rsidR="005A280C">
        <w:rPr>
          <w:rFonts w:ascii="Times New Roman" w:hAnsi="Times New Roman" w:cs="Times New Roman"/>
          <w:sz w:val="24"/>
          <w:szCs w:val="24"/>
          <w:lang w:val="fr-FR"/>
        </w:rPr>
        <w:t>teaux</w:t>
      </w:r>
      <w:proofErr w:type="spellEnd"/>
      <w:r w:rsidR="005A280C">
        <w:rPr>
          <w:rFonts w:ascii="Times New Roman" w:hAnsi="Times New Roman" w:cs="Times New Roman"/>
          <w:sz w:val="24"/>
          <w:szCs w:val="24"/>
          <w:lang w:val="fr-FR"/>
        </w:rPr>
        <w:t xml:space="preserve">. Le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projet </w:t>
      </w:r>
      <w:r w:rsidR="005A280C">
        <w:rPr>
          <w:rFonts w:ascii="Times New Roman" w:hAnsi="Times New Roman" w:cs="Times New Roman"/>
          <w:sz w:val="24"/>
          <w:szCs w:val="24"/>
          <w:lang w:val="fr-FR"/>
        </w:rPr>
        <w:t xml:space="preserve">Salvage to </w:t>
      </w:r>
      <w:proofErr w:type="spellStart"/>
      <w:r w:rsidR="005A280C">
        <w:rPr>
          <w:rFonts w:ascii="Times New Roman" w:hAnsi="Times New Roman" w:cs="Times New Roman"/>
          <w:sz w:val="24"/>
          <w:szCs w:val="24"/>
          <w:lang w:val="fr-FR"/>
        </w:rPr>
        <w:t>Shelter</w:t>
      </w:r>
      <w:proofErr w:type="spellEnd"/>
      <w:r w:rsidR="005A280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355BD">
        <w:rPr>
          <w:rFonts w:ascii="Times New Roman" w:hAnsi="Times New Roman" w:cs="Times New Roman"/>
          <w:sz w:val="24"/>
          <w:szCs w:val="24"/>
          <w:lang w:val="fr-FR"/>
        </w:rPr>
        <w:t>a pour but de réhabiliter/</w:t>
      </w:r>
      <w:r>
        <w:rPr>
          <w:rFonts w:ascii="Times New Roman" w:hAnsi="Times New Roman" w:cs="Times New Roman"/>
          <w:sz w:val="24"/>
          <w:szCs w:val="24"/>
          <w:lang w:val="fr-FR"/>
        </w:rPr>
        <w:t>construire des maisons pour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2000 ménages vivant sous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la lune et le soleil suite au passage de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l’ouragan dévastateur Matthew. Pour mettre l’emphase sur le rapport d’OCHA</w:t>
      </w:r>
      <w:r w:rsidR="00CD5BD4">
        <w:rPr>
          <w:rStyle w:val="FootnoteReference"/>
          <w:rFonts w:ascii="Times New Roman" w:hAnsi="Times New Roman" w:cs="Times New Roman"/>
          <w:sz w:val="24"/>
          <w:szCs w:val="24"/>
          <w:lang w:val="fr-FR"/>
        </w:rPr>
        <w:footnoteReference w:id="2"/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en date du mois de novembre 2016, mentionnant que l’ouragan Matthew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frappé la péninsule du sud d'Haïti avec des rafales de vent allant jusqu'à 230km/h, dont 546 personnes ont été tuées, 438 blessées, plus de 2 millions de personnes se sont retrouvées dans des situations difficiles ou dans des abris provisoires. Après plusieurs mois d’implémentation du projet Salvage to </w:t>
      </w:r>
      <w:proofErr w:type="spellStart"/>
      <w:r w:rsidRPr="00092729">
        <w:rPr>
          <w:rFonts w:ascii="Times New Roman" w:hAnsi="Times New Roman" w:cs="Times New Roman"/>
          <w:sz w:val="24"/>
          <w:szCs w:val="24"/>
          <w:lang w:val="fr-FR"/>
        </w:rPr>
        <w:t>Shelter</w:t>
      </w:r>
      <w:proofErr w:type="spellEnd"/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, les habitants de la commune de </w:t>
      </w:r>
      <w:proofErr w:type="spellStart"/>
      <w:r w:rsidR="008355BD">
        <w:rPr>
          <w:rFonts w:ascii="Times New Roman" w:hAnsi="Times New Roman" w:cs="Times New Roman"/>
          <w:sz w:val="24"/>
          <w:szCs w:val="24"/>
          <w:lang w:val="fr-FR"/>
        </w:rPr>
        <w:t>Cô</w:t>
      </w:r>
      <w:r w:rsidR="00CB15FE">
        <w:rPr>
          <w:rFonts w:ascii="Times New Roman" w:hAnsi="Times New Roman" w:cs="Times New Roman"/>
          <w:sz w:val="24"/>
          <w:szCs w:val="24"/>
          <w:lang w:val="fr-FR"/>
        </w:rPr>
        <w:t>teaux</w:t>
      </w:r>
      <w:proofErr w:type="spellEnd"/>
      <w:r w:rsidR="00CB15FE">
        <w:rPr>
          <w:rFonts w:ascii="Times New Roman" w:hAnsi="Times New Roman" w:cs="Times New Roman"/>
          <w:sz w:val="24"/>
          <w:szCs w:val="24"/>
          <w:lang w:val="fr-FR"/>
        </w:rPr>
        <w:t xml:space="preserve"> ne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cesse</w:t>
      </w:r>
      <w:r w:rsidR="00CB15FE">
        <w:rPr>
          <w:rFonts w:ascii="Times New Roman" w:hAnsi="Times New Roman" w:cs="Times New Roman"/>
          <w:sz w:val="24"/>
          <w:szCs w:val="24"/>
          <w:lang w:val="fr-FR"/>
        </w:rPr>
        <w:t>nt de faire l’éloge de celui-ci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. Grac</w:t>
      </w:r>
      <w:r w:rsidR="008355BD">
        <w:rPr>
          <w:rFonts w:ascii="Times New Roman" w:hAnsi="Times New Roman" w:cs="Times New Roman"/>
          <w:sz w:val="24"/>
          <w:szCs w:val="24"/>
          <w:lang w:val="fr-FR"/>
        </w:rPr>
        <w:t>e à cet exploit, le projet a</w:t>
      </w:r>
      <w:r w:rsidR="00233D9A">
        <w:rPr>
          <w:rFonts w:ascii="Times New Roman" w:hAnsi="Times New Roman" w:cs="Times New Roman"/>
          <w:sz w:val="24"/>
          <w:szCs w:val="24"/>
          <w:lang w:val="fr-FR"/>
        </w:rPr>
        <w:t xml:space="preserve"> trouvé d’autres fonds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pour supporter les ménages vivant dans les abris p</w:t>
      </w:r>
      <w:r>
        <w:rPr>
          <w:rFonts w:ascii="Times New Roman" w:hAnsi="Times New Roman" w:cs="Times New Roman"/>
          <w:sz w:val="24"/>
          <w:szCs w:val="24"/>
          <w:lang w:val="fr-FR"/>
        </w:rPr>
        <w:t>rovisoires à la commune de Port-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Salut</w:t>
      </w:r>
      <w:r w:rsidR="00C54C88">
        <w:rPr>
          <w:rFonts w:ascii="Times New Roman" w:hAnsi="Times New Roman" w:cs="Times New Roman"/>
          <w:sz w:val="24"/>
          <w:szCs w:val="24"/>
          <w:lang w:val="fr-FR"/>
        </w:rPr>
        <w:t xml:space="preserve"> via un volet</w:t>
      </w:r>
      <w:r w:rsidR="00BB4BF5">
        <w:rPr>
          <w:rFonts w:ascii="Times New Roman" w:hAnsi="Times New Roman" w:cs="Times New Roman"/>
          <w:sz w:val="24"/>
          <w:szCs w:val="24"/>
          <w:lang w:val="fr-FR"/>
        </w:rPr>
        <w:t xml:space="preserve"> « Cash for </w:t>
      </w:r>
      <w:proofErr w:type="spellStart"/>
      <w:r w:rsidR="00BB4BF5">
        <w:rPr>
          <w:rFonts w:ascii="Times New Roman" w:hAnsi="Times New Roman" w:cs="Times New Roman"/>
          <w:sz w:val="24"/>
          <w:szCs w:val="24"/>
          <w:lang w:val="fr-FR"/>
        </w:rPr>
        <w:t>Rent</w:t>
      </w:r>
      <w:proofErr w:type="spellEnd"/>
      <w:r w:rsidR="00BB4BF5">
        <w:rPr>
          <w:rFonts w:ascii="Times New Roman" w:hAnsi="Times New Roman" w:cs="Times New Roman"/>
          <w:sz w:val="24"/>
          <w:szCs w:val="24"/>
          <w:lang w:val="fr-FR"/>
        </w:rPr>
        <w:t> »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en leur permettant d’avoir accès à un montant forfai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>taire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pour louer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 xml:space="preserve"> une chambre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de maison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 xml:space="preserve"> dans le but de laisser les camps de refuge</w:t>
      </w:r>
      <w:r w:rsidR="00CB15FE">
        <w:rPr>
          <w:rFonts w:ascii="Times New Roman" w:hAnsi="Times New Roman" w:cs="Times New Roman"/>
          <w:sz w:val="24"/>
          <w:szCs w:val="24"/>
          <w:lang w:val="fr-FR"/>
        </w:rPr>
        <w:t>. À l’instar de ce volet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9F304A">
        <w:rPr>
          <w:rFonts w:ascii="Times New Roman" w:hAnsi="Times New Roman" w:cs="Times New Roman"/>
          <w:sz w:val="24"/>
          <w:szCs w:val="24"/>
          <w:lang w:val="fr-FR"/>
        </w:rPr>
        <w:t>le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projet Salvage to </w:t>
      </w:r>
      <w:proofErr w:type="spellStart"/>
      <w:r w:rsidRPr="00092729">
        <w:rPr>
          <w:rFonts w:ascii="Times New Roman" w:hAnsi="Times New Roman" w:cs="Times New Roman"/>
          <w:sz w:val="24"/>
          <w:szCs w:val="24"/>
          <w:lang w:val="fr-FR"/>
        </w:rPr>
        <w:t>Shelter</w:t>
      </w:r>
      <w:proofErr w:type="spellEnd"/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compte de résoudre les problèmes pratiques de logement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 xml:space="preserve"> pour les ménages vivant dans les abris provisoires</w:t>
      </w:r>
      <w:r w:rsidR="00CB15FE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encourager</w:t>
      </w:r>
      <w:r w:rsidR="00626792">
        <w:rPr>
          <w:rFonts w:ascii="Times New Roman" w:hAnsi="Times New Roman" w:cs="Times New Roman"/>
          <w:sz w:val="24"/>
          <w:szCs w:val="24"/>
          <w:lang w:val="fr-FR"/>
        </w:rPr>
        <w:t xml:space="preserve"> le développement économique, social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et promouvoir le respect de la dignité humaine.</w:t>
      </w:r>
    </w:p>
    <w:p w:rsidR="00A057F4" w:rsidRDefault="00CB15FE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À l’issue d’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>une rencontre organisée avec la Mairie de Port Salut en date 17 Juillet 2017 concernant la faisabilité de l’enquête « Marché location</w:t>
      </w:r>
      <w:r w:rsidR="00A057F4">
        <w:rPr>
          <w:rFonts w:ascii="Times New Roman" w:hAnsi="Times New Roman" w:cs="Times New Roman"/>
          <w:sz w:val="24"/>
          <w:szCs w:val="24"/>
          <w:lang w:val="fr-FR"/>
        </w:rPr>
        <w:t xml:space="preserve"> de maison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> », le projet Salvag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e to </w:t>
      </w:r>
      <w:proofErr w:type="spellStart"/>
      <w:r w:rsidR="00F52485">
        <w:rPr>
          <w:rFonts w:ascii="Times New Roman" w:hAnsi="Times New Roman" w:cs="Times New Roman"/>
          <w:sz w:val="24"/>
          <w:szCs w:val="24"/>
          <w:lang w:val="fr-FR"/>
        </w:rPr>
        <w:t>Shelter</w:t>
      </w:r>
      <w:proofErr w:type="spellEnd"/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 a mis tout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le mécanisme en place en vue de réaliser cette enquête au niveau de cette commune.</w:t>
      </w:r>
    </w:p>
    <w:p w:rsidR="00A057F4" w:rsidRPr="00092729" w:rsidRDefault="00A057F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1.2. Objectif de l’enquête Marché Location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maison</w:t>
      </w:r>
    </w:p>
    <w:p w:rsidR="00A057F4" w:rsidRPr="007E1C4D" w:rsidRDefault="00A057F4" w:rsidP="007E1C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L’objectif principal de l’enquête Marché Location </w:t>
      </w:r>
      <w:r w:rsidR="00CA196A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consiste </w:t>
      </w:r>
      <w:r w:rsidR="00CA196A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="007E1C4D">
        <w:rPr>
          <w:rFonts w:ascii="Times New Roman" w:hAnsi="Times New Roman" w:cs="Times New Roman"/>
          <w:sz w:val="24"/>
          <w:szCs w:val="24"/>
          <w:lang w:val="fr-FR"/>
        </w:rPr>
        <w:t xml:space="preserve"> déterminer </w:t>
      </w:r>
      <w:r w:rsidR="007E1C4D" w:rsidRPr="00092729">
        <w:rPr>
          <w:rFonts w:ascii="Times New Roman" w:hAnsi="Times New Roman" w:cs="Times New Roman"/>
          <w:sz w:val="24"/>
          <w:szCs w:val="24"/>
          <w:lang w:val="fr-FR"/>
        </w:rPr>
        <w:t>la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disp</w:t>
      </w:r>
      <w:r>
        <w:rPr>
          <w:rFonts w:ascii="Times New Roman" w:hAnsi="Times New Roman" w:cs="Times New Roman"/>
          <w:sz w:val="24"/>
          <w:szCs w:val="24"/>
          <w:lang w:val="fr-FR"/>
        </w:rPr>
        <w:t>onibilité</w:t>
      </w:r>
      <w:r w:rsidR="007E1C4D">
        <w:rPr>
          <w:rFonts w:ascii="Times New Roman" w:hAnsi="Times New Roman" w:cs="Times New Roman"/>
          <w:sz w:val="24"/>
          <w:szCs w:val="24"/>
          <w:lang w:val="fr-FR"/>
        </w:rPr>
        <w:t xml:space="preserve"> et le prix de location des </w:t>
      </w:r>
      <w:r w:rsidR="00CA196A">
        <w:rPr>
          <w:rFonts w:ascii="Times New Roman" w:hAnsi="Times New Roman" w:cs="Times New Roman"/>
          <w:sz w:val="24"/>
          <w:szCs w:val="24"/>
          <w:lang w:val="fr-FR"/>
        </w:rPr>
        <w:t>maisons au</w:t>
      </w:r>
      <w:r w:rsidR="007E1C4D">
        <w:rPr>
          <w:rFonts w:ascii="Times New Roman" w:hAnsi="Times New Roman" w:cs="Times New Roman"/>
          <w:sz w:val="24"/>
          <w:szCs w:val="24"/>
          <w:lang w:val="fr-FR"/>
        </w:rPr>
        <w:t xml:space="preserve"> niveau </w:t>
      </w:r>
      <w:r w:rsidR="00B61743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="00B61743" w:rsidRPr="00092729">
        <w:rPr>
          <w:rFonts w:ascii="Times New Roman" w:hAnsi="Times New Roman" w:cs="Times New Roman"/>
          <w:sz w:val="24"/>
          <w:szCs w:val="24"/>
          <w:lang w:val="fr-FR"/>
        </w:rPr>
        <w:t>la</w:t>
      </w:r>
      <w:r w:rsidR="00CA196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092729">
        <w:rPr>
          <w:rFonts w:ascii="Times New Roman" w:hAnsi="Times New Roman" w:cs="Times New Roman"/>
          <w:sz w:val="24"/>
          <w:szCs w:val="24"/>
          <w:lang w:val="fr-FR"/>
        </w:rPr>
        <w:t>commune de Po</w:t>
      </w:r>
      <w:r w:rsidR="007E1C4D">
        <w:rPr>
          <w:rFonts w:ascii="Times New Roman" w:hAnsi="Times New Roman" w:cs="Times New Roman"/>
          <w:sz w:val="24"/>
          <w:szCs w:val="24"/>
          <w:lang w:val="fr-FR"/>
        </w:rPr>
        <w:t>rt Salut. Spécifiquement cette étude vise à :</w:t>
      </w:r>
    </w:p>
    <w:p w:rsidR="00A057F4" w:rsidRPr="00092729" w:rsidRDefault="00A057F4" w:rsidP="00A057F4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92729">
        <w:rPr>
          <w:rFonts w:ascii="Times New Roman" w:hAnsi="Times New Roman" w:cs="Times New Roman"/>
          <w:sz w:val="24"/>
          <w:szCs w:val="24"/>
          <w:lang w:val="fr-FR"/>
        </w:rPr>
        <w:t>Connaitre la localisation géographique des maisons à affermer.</w:t>
      </w:r>
    </w:p>
    <w:p w:rsidR="00A057F4" w:rsidRPr="00092729" w:rsidRDefault="00A057F4" w:rsidP="00A057F4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92729">
        <w:rPr>
          <w:rFonts w:ascii="Times New Roman" w:hAnsi="Times New Roman" w:cs="Times New Roman"/>
          <w:sz w:val="24"/>
          <w:szCs w:val="24"/>
          <w:lang w:val="fr-FR"/>
        </w:rPr>
        <w:lastRenderedPageBreak/>
        <w:t>Evaluer les mesures de sécurité des ménages.</w:t>
      </w:r>
    </w:p>
    <w:p w:rsidR="00A057F4" w:rsidRPr="00CC12E1" w:rsidRDefault="00A057F4" w:rsidP="00A057F4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92729">
        <w:rPr>
          <w:rFonts w:ascii="Times New Roman" w:hAnsi="Times New Roman" w:cs="Times New Roman"/>
          <w:sz w:val="24"/>
          <w:szCs w:val="24"/>
          <w:lang w:val="fr-FR"/>
        </w:rPr>
        <w:t>Evaluer les services offerts par les propriétaires de maisons.</w:t>
      </w:r>
    </w:p>
    <w:p w:rsidR="00A057F4" w:rsidRDefault="00380301" w:rsidP="00CA196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1.3. Méthode</w:t>
      </w:r>
      <w:r w:rsidR="00A057F4" w:rsidRPr="00792EA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collecte de données</w:t>
      </w:r>
    </w:p>
    <w:p w:rsidR="00E607E4" w:rsidRDefault="00E607E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1.3.1. Zone de l’étude</w:t>
      </w:r>
    </w:p>
    <w:p w:rsidR="00CA196A" w:rsidRDefault="00D25EDF" w:rsidP="00CA19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25EDF">
        <w:rPr>
          <w:rFonts w:ascii="Times New Roman" w:hAnsi="Times New Roman" w:cs="Times New Roman"/>
          <w:sz w:val="24"/>
          <w:szCs w:val="24"/>
          <w:lang w:val="fr-FR"/>
        </w:rPr>
        <w:t>L</w:t>
      </w:r>
      <w:r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>enquête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s’est 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>déroulée</w:t>
      </w:r>
      <w:r w:rsidR="0048052D">
        <w:rPr>
          <w:rFonts w:ascii="Times New Roman" w:hAnsi="Times New Roman" w:cs="Times New Roman"/>
          <w:sz w:val="24"/>
          <w:szCs w:val="24"/>
          <w:lang w:val="fr-FR"/>
        </w:rPr>
        <w:t xml:space="preserve"> du 22 au 25 Aout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2017 sur quatre (4) sections 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communales </w:t>
      </w:r>
      <w:r w:rsidR="00002288">
        <w:rPr>
          <w:rFonts w:ascii="Times New Roman" w:hAnsi="Times New Roman" w:cs="Times New Roman"/>
          <w:sz w:val="24"/>
          <w:szCs w:val="24"/>
          <w:lang w:val="fr-FR"/>
        </w:rPr>
        <w:t xml:space="preserve">à savoir : 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E001F3" w:rsidRPr="00E001F3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ème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 Anse-à-</w:t>
      </w:r>
      <w:proofErr w:type="spellStart"/>
      <w:r w:rsidR="00E001F3">
        <w:rPr>
          <w:rFonts w:ascii="Times New Roman" w:hAnsi="Times New Roman" w:cs="Times New Roman"/>
          <w:sz w:val="24"/>
          <w:szCs w:val="24"/>
          <w:lang w:val="fr-FR"/>
        </w:rPr>
        <w:t>Drique</w:t>
      </w:r>
      <w:proofErr w:type="spellEnd"/>
      <w:r w:rsidR="00E001F3">
        <w:rPr>
          <w:rFonts w:ascii="Times New Roman" w:hAnsi="Times New Roman" w:cs="Times New Roman"/>
          <w:sz w:val="24"/>
          <w:szCs w:val="24"/>
          <w:lang w:val="fr-FR"/>
        </w:rPr>
        <w:t>, 3</w:t>
      </w:r>
      <w:r w:rsidR="00E001F3" w:rsidRPr="00E001F3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ème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001F3">
        <w:rPr>
          <w:rFonts w:ascii="Times New Roman" w:hAnsi="Times New Roman" w:cs="Times New Roman"/>
          <w:sz w:val="24"/>
          <w:szCs w:val="24"/>
          <w:lang w:val="fr-FR"/>
        </w:rPr>
        <w:t>Obri</w:t>
      </w:r>
      <w:proofErr w:type="spellEnd"/>
      <w:r w:rsidR="00E001F3">
        <w:rPr>
          <w:rFonts w:ascii="Times New Roman" w:hAnsi="Times New Roman" w:cs="Times New Roman"/>
          <w:sz w:val="24"/>
          <w:szCs w:val="24"/>
          <w:lang w:val="fr-FR"/>
        </w:rPr>
        <w:t>, 4</w:t>
      </w:r>
      <w:r w:rsidR="00E001F3" w:rsidRPr="00E001F3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ème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E001F3">
        <w:rPr>
          <w:rFonts w:ascii="Times New Roman" w:hAnsi="Times New Roman" w:cs="Times New Roman"/>
          <w:sz w:val="24"/>
          <w:szCs w:val="24"/>
          <w:lang w:val="fr-FR"/>
        </w:rPr>
        <w:t>Barbois</w:t>
      </w:r>
      <w:proofErr w:type="spellEnd"/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 et 5</w:t>
      </w:r>
      <w:r w:rsidR="00E001F3" w:rsidRPr="00E001F3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ème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02288">
        <w:rPr>
          <w:rFonts w:ascii="Times New Roman" w:hAnsi="Times New Roman" w:cs="Times New Roman"/>
          <w:sz w:val="24"/>
          <w:szCs w:val="24"/>
          <w:lang w:val="fr-FR"/>
        </w:rPr>
        <w:t>Dumond</w:t>
      </w:r>
      <w:proofErr w:type="spellEnd"/>
      <w:r w:rsidR="00002288">
        <w:rPr>
          <w:rFonts w:ascii="Times New Roman" w:hAnsi="Times New Roman" w:cs="Times New Roman"/>
          <w:sz w:val="24"/>
          <w:szCs w:val="24"/>
          <w:lang w:val="fr-FR"/>
        </w:rPr>
        <w:t xml:space="preserve">, note que 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le Centre-Ville </w:t>
      </w:r>
      <w:r>
        <w:rPr>
          <w:rFonts w:ascii="Times New Roman" w:hAnsi="Times New Roman" w:cs="Times New Roman"/>
          <w:sz w:val="24"/>
          <w:szCs w:val="24"/>
          <w:lang w:val="fr-FR"/>
        </w:rPr>
        <w:t>de Port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>-Salut</w:t>
      </w:r>
      <w:r w:rsidR="00002288">
        <w:rPr>
          <w:rFonts w:ascii="Times New Roman" w:hAnsi="Times New Roman" w:cs="Times New Roman"/>
          <w:sz w:val="24"/>
          <w:szCs w:val="24"/>
          <w:lang w:val="fr-FR"/>
        </w:rPr>
        <w:t xml:space="preserve"> fait partie de la 3</w:t>
      </w:r>
      <w:r w:rsidR="00002288" w:rsidRPr="00002288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ème</w:t>
      </w:r>
      <w:r w:rsidR="00002288">
        <w:rPr>
          <w:rFonts w:ascii="Times New Roman" w:hAnsi="Times New Roman" w:cs="Times New Roman"/>
          <w:sz w:val="24"/>
          <w:szCs w:val="24"/>
          <w:lang w:val="fr-FR"/>
        </w:rPr>
        <w:t xml:space="preserve"> section </w:t>
      </w:r>
      <w:proofErr w:type="spellStart"/>
      <w:r w:rsidR="00002288">
        <w:rPr>
          <w:rFonts w:ascii="Times New Roman" w:hAnsi="Times New Roman" w:cs="Times New Roman"/>
          <w:sz w:val="24"/>
          <w:szCs w:val="24"/>
          <w:lang w:val="fr-FR"/>
        </w:rPr>
        <w:t>Obri</w:t>
      </w:r>
      <w:proofErr w:type="spellEnd"/>
      <w:r w:rsidR="00E001F3">
        <w:rPr>
          <w:rFonts w:ascii="Times New Roman" w:hAnsi="Times New Roman" w:cs="Times New Roman"/>
          <w:sz w:val="24"/>
          <w:szCs w:val="24"/>
          <w:lang w:val="fr-FR"/>
        </w:rPr>
        <w:t>. Au total, 155 propriétaires et locataires de maison ont été interrogés.</w:t>
      </w:r>
    </w:p>
    <w:p w:rsidR="00601BB9" w:rsidRDefault="00601BB9" w:rsidP="00002288">
      <w:pPr>
        <w:pStyle w:val="NoSpacing"/>
        <w:rPr>
          <w:lang w:val="fr-FR"/>
        </w:rPr>
      </w:pPr>
      <w:r>
        <w:rPr>
          <w:lang w:val="fr-FR"/>
        </w:rPr>
        <w:t xml:space="preserve">Graphe 1 : Nombre de </w:t>
      </w:r>
      <w:r w:rsidR="00002288">
        <w:rPr>
          <w:lang w:val="fr-FR"/>
        </w:rPr>
        <w:t>propriétaires</w:t>
      </w:r>
      <w:r>
        <w:rPr>
          <w:lang w:val="fr-FR"/>
        </w:rPr>
        <w:t xml:space="preserve"> et locataires interrogés par zone</w:t>
      </w:r>
    </w:p>
    <w:p w:rsidR="00601BB9" w:rsidRDefault="00601BB9" w:rsidP="00002288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</w:rPr>
        <w:drawing>
          <wp:inline distT="0" distB="0" distL="0" distR="0" wp14:anchorId="5A8DDC35" wp14:editId="2B02D122">
            <wp:extent cx="4219575" cy="2266950"/>
            <wp:effectExtent l="0" t="0" r="9525" b="0"/>
            <wp:docPr id="9" name="Chart 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58EDBCF1-195A-49C2-BCD6-FFAF7FD2F7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02288" w:rsidRPr="001F4B57" w:rsidRDefault="00002288" w:rsidP="00002288">
      <w:pPr>
        <w:pStyle w:val="NoSpacing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 w:rsidR="00283215">
        <w:rPr>
          <w:i/>
          <w:lang w:val="fr-FR"/>
        </w:rPr>
        <w:t>ns, Port-Salut, 22 au 25 Ao</w:t>
      </w:r>
      <w:r w:rsidR="00283215">
        <w:rPr>
          <w:rFonts w:ascii="Leelawadee" w:hAnsi="Leelawadee" w:cs="Leelawadee"/>
          <w:i/>
          <w:lang w:val="fr-FR"/>
        </w:rPr>
        <w:t>û</w:t>
      </w:r>
      <w:r w:rsidR="00283215"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002288" w:rsidRPr="00D25EDF" w:rsidRDefault="00002288" w:rsidP="00CA19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E607E4" w:rsidRDefault="002C5AA2" w:rsidP="00E607E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1.3.2. É</w:t>
      </w:r>
      <w:r w:rsidR="00E607E4">
        <w:rPr>
          <w:rFonts w:ascii="Times New Roman" w:hAnsi="Times New Roman" w:cs="Times New Roman"/>
          <w:b/>
          <w:sz w:val="24"/>
          <w:szCs w:val="24"/>
          <w:lang w:val="fr-FR"/>
        </w:rPr>
        <w:t>chantillonnage</w:t>
      </w:r>
    </w:p>
    <w:p w:rsidR="00E607E4" w:rsidRPr="00E607E4" w:rsidRDefault="00E607E4" w:rsidP="00E607E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Pour la réalisation de cette </w:t>
      </w:r>
      <w:r w:rsidR="00E001F3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>étude,</w:t>
      </w:r>
      <w:r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 la méthode du crayon a </w:t>
      </w:r>
      <w:r w:rsidR="00E001F3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été </w:t>
      </w:r>
      <w:r w:rsidR="00E001F3" w:rsidRPr="00E607E4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>appliquée</w:t>
      </w:r>
      <w:r w:rsidRPr="00E607E4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 afin de sélectionner de manière aléatoire</w:t>
      </w:r>
      <w:r w:rsidR="004D0382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 la premiè</w:t>
      </w:r>
      <w:r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>r</w:t>
      </w:r>
      <w:r w:rsidR="004D0382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>e</w:t>
      </w:r>
      <w:r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 maison</w:t>
      </w:r>
      <w:r w:rsidRPr="00E607E4">
        <w:rPr>
          <w:rFonts w:ascii="Times New Roman" w:eastAsiaTheme="minorEastAsia" w:hAnsi="Times New Roman" w:cs="Times New Roman"/>
          <w:sz w:val="24"/>
          <w:szCs w:val="24"/>
          <w:lang w:val="fr-FR" w:eastAsia="fr-FR"/>
        </w:rPr>
        <w:t xml:space="preserve"> à enquêter et </w:t>
      </w:r>
      <w:r w:rsidRPr="00E607E4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>l’échantillonnage</w:t>
      </w:r>
      <w:r w:rsidR="004D0382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 xml:space="preserve"> en boule de neige (</w:t>
      </w:r>
      <w:proofErr w:type="spellStart"/>
      <w:r w:rsidR="004D0382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>Snowball</w:t>
      </w:r>
      <w:proofErr w:type="spellEnd"/>
      <w:r w:rsidR="004D0382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4D0382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>sa</w:t>
      </w:r>
      <w:r w:rsidRPr="00E607E4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>mpling</w:t>
      </w:r>
      <w:proofErr w:type="spellEnd"/>
      <w:r w:rsidRPr="00E607E4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>), qui consiste à ajouter à un noyau d’individu tous ceux qui sont en relation avec eux et ainsi de suite, sera utilisé</w:t>
      </w:r>
      <w:r w:rsidR="00E001F3">
        <w:rPr>
          <w:rFonts w:ascii="Times New Roman" w:eastAsia="Helvetica-Bold" w:hAnsi="Times New Roman" w:cs="Times New Roman"/>
          <w:color w:val="000000"/>
          <w:sz w:val="24"/>
          <w:szCs w:val="24"/>
          <w:lang w:val="fr-FR"/>
        </w:rPr>
        <w:t xml:space="preserve"> pour les autres maisons.</w:t>
      </w:r>
    </w:p>
    <w:p w:rsidR="00A057F4" w:rsidRPr="00092729" w:rsidRDefault="00913282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E001F3">
        <w:rPr>
          <w:rFonts w:ascii="Times New Roman" w:hAnsi="Times New Roman" w:cs="Times New Roman"/>
          <w:sz w:val="24"/>
          <w:szCs w:val="24"/>
          <w:lang w:val="fr-FR"/>
        </w:rPr>
        <w:t xml:space="preserve">méthode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>utilisée pour collecter les données est basée sur un questionnaire</w:t>
      </w:r>
      <w:r w:rsidR="005D788F">
        <w:rPr>
          <w:rStyle w:val="FootnoteReference"/>
          <w:rFonts w:ascii="Times New Roman" w:hAnsi="Times New Roman" w:cs="Times New Roman"/>
          <w:sz w:val="24"/>
          <w:szCs w:val="24"/>
          <w:lang w:val="fr-FR"/>
        </w:rPr>
        <w:footnoteReference w:id="3"/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4273C">
        <w:rPr>
          <w:rFonts w:ascii="Times New Roman" w:hAnsi="Times New Roman" w:cs="Times New Roman"/>
          <w:sz w:val="24"/>
          <w:szCs w:val="24"/>
          <w:lang w:val="fr-FR"/>
        </w:rPr>
        <w:t>proposé par OIM</w:t>
      </w:r>
      <w:r w:rsidR="005D788F">
        <w:rPr>
          <w:rStyle w:val="FootnoteReference"/>
          <w:rFonts w:ascii="Times New Roman" w:hAnsi="Times New Roman" w:cs="Times New Roman"/>
          <w:sz w:val="24"/>
          <w:szCs w:val="24"/>
          <w:lang w:val="fr-FR"/>
        </w:rPr>
        <w:footnoteReference w:id="4"/>
      </w:r>
      <w:r w:rsidR="0044273C">
        <w:rPr>
          <w:rFonts w:ascii="Times New Roman" w:hAnsi="Times New Roman" w:cs="Times New Roman"/>
          <w:sz w:val="24"/>
          <w:szCs w:val="24"/>
          <w:lang w:val="fr-FR"/>
        </w:rPr>
        <w:t xml:space="preserve"> et ajustée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par le </w:t>
      </w:r>
      <w:r w:rsidR="000D654A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projet </w:t>
      </w:r>
      <w:r w:rsidR="000D654A">
        <w:rPr>
          <w:rFonts w:ascii="Times New Roman" w:hAnsi="Times New Roman" w:cs="Times New Roman"/>
          <w:sz w:val="24"/>
          <w:szCs w:val="24"/>
          <w:lang w:val="fr-FR"/>
        </w:rPr>
        <w:t xml:space="preserve">en vue de collecter le maximum d’informations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relatives au marché de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lastRenderedPageBreak/>
        <w:t>location des maisons.</w:t>
      </w:r>
      <w:r w:rsidR="007E1C4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Grâce à un système de suivi adapté à cet effet, le projet Salvage to </w:t>
      </w:r>
      <w:proofErr w:type="spellStart"/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>Shelter</w:t>
      </w:r>
      <w:proofErr w:type="spellEnd"/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a déployé un collège composé de 4 enquêteurs et 4 guides pendant une durée de 4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jours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dans les différents endroits de cette commune en vue de collecter les informations sur la disponibilité </w:t>
      </w:r>
      <w:r w:rsidR="003163AD">
        <w:rPr>
          <w:rFonts w:ascii="Times New Roman" w:hAnsi="Times New Roman" w:cs="Times New Roman"/>
          <w:sz w:val="24"/>
          <w:szCs w:val="24"/>
          <w:lang w:val="fr-FR"/>
        </w:rPr>
        <w:t xml:space="preserve">et le prix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3163AD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163AD">
        <w:rPr>
          <w:rFonts w:ascii="Times New Roman" w:hAnsi="Times New Roman" w:cs="Times New Roman"/>
          <w:sz w:val="24"/>
          <w:szCs w:val="24"/>
          <w:lang w:val="fr-FR"/>
        </w:rPr>
        <w:t xml:space="preserve">maisons à louer auprès des chefs de ménages et </w:t>
      </w:r>
      <w:r w:rsidR="00A057F4" w:rsidRPr="00092729">
        <w:rPr>
          <w:rFonts w:ascii="Times New Roman" w:hAnsi="Times New Roman" w:cs="Times New Roman"/>
          <w:sz w:val="24"/>
          <w:szCs w:val="24"/>
          <w:lang w:val="fr-FR"/>
        </w:rPr>
        <w:t>de propriétaires de maison</w:t>
      </w:r>
      <w:r w:rsidR="003163AD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057F4" w:rsidRPr="00092729" w:rsidRDefault="00A057F4" w:rsidP="00A057F4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92729">
        <w:rPr>
          <w:rFonts w:ascii="Times New Roman" w:hAnsi="Times New Roman" w:cs="Times New Roman"/>
          <w:sz w:val="24"/>
          <w:szCs w:val="24"/>
          <w:lang w:val="fr-FR"/>
        </w:rPr>
        <w:t>Le tableau ci-dessous présente le nombre de locataires et propriétaires interviewés lors de cette enquête :</w:t>
      </w:r>
    </w:p>
    <w:p w:rsidR="00A057F4" w:rsidRDefault="00A057F4" w:rsidP="00A057F4">
      <w:pPr>
        <w:pStyle w:val="NoSpacing"/>
        <w:rPr>
          <w:b/>
          <w:i/>
          <w:lang w:val="fr-FR"/>
        </w:rPr>
      </w:pPr>
      <w:r w:rsidRPr="004457E9">
        <w:rPr>
          <w:b/>
          <w:i/>
          <w:lang w:val="fr-FR"/>
        </w:rPr>
        <w:t xml:space="preserve">Tableau 1 : </w:t>
      </w:r>
      <w:r>
        <w:rPr>
          <w:b/>
          <w:i/>
          <w:lang w:val="fr-FR"/>
        </w:rPr>
        <w:t xml:space="preserve"> Répartition du nombre de locataires et propriétaires interviewés.</w:t>
      </w:r>
    </w:p>
    <w:tbl>
      <w:tblPr>
        <w:tblW w:w="4765" w:type="dxa"/>
        <w:tblLook w:val="04A0" w:firstRow="1" w:lastRow="0" w:firstColumn="1" w:lastColumn="0" w:noHBand="0" w:noVBand="1"/>
      </w:tblPr>
      <w:tblGrid>
        <w:gridCol w:w="2065"/>
        <w:gridCol w:w="2700"/>
      </w:tblGrid>
      <w:tr w:rsidR="00A057F4" w:rsidRPr="0041124C" w:rsidTr="00D25EDF">
        <w:trPr>
          <w:trHeight w:val="570"/>
        </w:trPr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7F4" w:rsidRPr="006162B1" w:rsidRDefault="008E7328" w:rsidP="00D25E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</w:pPr>
            <w:r w:rsidRPr="006162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Répartition</w:t>
            </w:r>
            <w:r w:rsidR="00A057F4" w:rsidRPr="006162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 du pourcentage de locataires et propri</w:t>
            </w:r>
            <w:r w:rsidR="00A057F4" w:rsidRPr="006162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="00A057F4" w:rsidRPr="006162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taires interview</w:t>
            </w:r>
            <w:r w:rsidR="00A057F4" w:rsidRPr="006162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é</w:t>
            </w:r>
            <w:r w:rsidR="00A057F4" w:rsidRPr="006162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s</w:t>
            </w:r>
          </w:p>
        </w:tc>
      </w:tr>
      <w:tr w:rsidR="00A057F4" w:rsidRPr="006162B1" w:rsidTr="00D25EDF">
        <w:trPr>
          <w:trHeight w:val="255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7F4" w:rsidRPr="00774685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</w:p>
          <w:p w:rsidR="00A057F4" w:rsidRPr="006162B1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162B1">
              <w:rPr>
                <w:rFonts w:ascii="Arial" w:eastAsia="Times New Roman" w:hAnsi="Arial" w:cs="Arial"/>
                <w:sz w:val="20"/>
                <w:szCs w:val="20"/>
              </w:rPr>
              <w:t>Locataire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7F4" w:rsidRPr="006162B1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Proprié</w:t>
            </w:r>
            <w:r w:rsidRPr="006162B1">
              <w:rPr>
                <w:rFonts w:ascii="Arial" w:eastAsia="Times New Roman" w:hAnsi="Arial" w:cs="Arial"/>
                <w:sz w:val="20"/>
                <w:szCs w:val="20"/>
              </w:rPr>
              <w:t>taire</w:t>
            </w:r>
            <w:proofErr w:type="spellEnd"/>
          </w:p>
        </w:tc>
      </w:tr>
      <w:tr w:rsidR="00A057F4" w:rsidRPr="006162B1" w:rsidTr="00D25EDF">
        <w:trPr>
          <w:trHeight w:val="255"/>
        </w:trPr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7F4" w:rsidRPr="006162B1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62B1">
              <w:rPr>
                <w:rFonts w:ascii="Arial" w:eastAsia="Times New Roman" w:hAnsi="Arial" w:cs="Arial"/>
                <w:sz w:val="20"/>
                <w:szCs w:val="20"/>
              </w:rPr>
              <w:t>70.32%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7F4" w:rsidRPr="006162B1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62B1">
              <w:rPr>
                <w:rFonts w:ascii="Arial" w:eastAsia="Times New Roman" w:hAnsi="Arial" w:cs="Arial"/>
                <w:sz w:val="20"/>
                <w:szCs w:val="20"/>
              </w:rPr>
              <w:t>29.68%</w:t>
            </w:r>
          </w:p>
        </w:tc>
      </w:tr>
      <w:tr w:rsidR="00A057F4" w:rsidRPr="006162B1" w:rsidTr="00D25EDF">
        <w:trPr>
          <w:trHeight w:val="255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7F4" w:rsidRPr="006162B1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7F4" w:rsidRPr="006162B1" w:rsidRDefault="00A057F4" w:rsidP="00D25E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057F4" w:rsidRDefault="00283215" w:rsidP="00A057F4">
      <w:pPr>
        <w:pStyle w:val="NoSpacing"/>
        <w:rPr>
          <w:b/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A057F4" w:rsidRDefault="00A057F4" w:rsidP="00A057F4">
      <w:pPr>
        <w:pStyle w:val="NoSpacing"/>
        <w:rPr>
          <w:b/>
          <w:i/>
          <w:lang w:val="fr-FR"/>
        </w:rPr>
      </w:pPr>
    </w:p>
    <w:p w:rsidR="00A057F4" w:rsidRDefault="00A057F4" w:rsidP="00A057F4">
      <w:pPr>
        <w:pStyle w:val="NoSpacing"/>
        <w:rPr>
          <w:b/>
          <w:i/>
          <w:lang w:val="fr-FR"/>
        </w:rPr>
      </w:pPr>
      <w:r>
        <w:rPr>
          <w:b/>
          <w:i/>
          <w:lang w:val="fr-FR"/>
        </w:rPr>
        <w:t>Graphe 1 </w:t>
      </w:r>
    </w:p>
    <w:p w:rsidR="00A057F4" w:rsidRDefault="00C81F80" w:rsidP="00A057F4">
      <w:pPr>
        <w:pStyle w:val="NoSpacing"/>
        <w:rPr>
          <w:b/>
          <w:i/>
          <w:lang w:val="fr-FR"/>
        </w:rPr>
      </w:pPr>
      <w:r>
        <w:rPr>
          <w:noProof/>
        </w:rPr>
        <w:drawing>
          <wp:inline distT="0" distB="0" distL="0" distR="0" wp14:anchorId="2B9B3A6A" wp14:editId="5BE44F37">
            <wp:extent cx="4648200" cy="211455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D8C7C3AB-A024-45CD-BE70-18CE0F4754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057F4" w:rsidRPr="00792EAF" w:rsidRDefault="00283215" w:rsidP="00A057F4">
      <w:pPr>
        <w:pStyle w:val="NoSpacing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DC796E" w:rsidRDefault="00DC796E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20F06" w:rsidRDefault="00D20F06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C796E" w:rsidRDefault="00DC796E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5C2F97" w:rsidRDefault="005C2F97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832B20" w:rsidRDefault="00832B20" w:rsidP="00832B2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DC2EEA" w:rsidRDefault="00DC2EEA" w:rsidP="00832B2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283215" w:rsidRDefault="00283215" w:rsidP="00832B2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II-Résultats de l’étude</w:t>
      </w:r>
    </w:p>
    <w:p w:rsidR="00A057F4" w:rsidRPr="0018734F" w:rsidRDefault="00A057F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8734F">
        <w:rPr>
          <w:rFonts w:ascii="Times New Roman" w:hAnsi="Times New Roman" w:cs="Times New Roman"/>
          <w:sz w:val="24"/>
          <w:szCs w:val="24"/>
          <w:lang w:val="fr-FR"/>
        </w:rPr>
        <w:t>Fondée sur une enquête de terrain auprès d’un échantillon de 155 locataire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18734F">
        <w:rPr>
          <w:rFonts w:ascii="Times New Roman" w:hAnsi="Times New Roman" w:cs="Times New Roman"/>
          <w:sz w:val="24"/>
          <w:szCs w:val="24"/>
          <w:lang w:val="fr-FR"/>
        </w:rPr>
        <w:t xml:space="preserve"> et propriétaire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18734F">
        <w:rPr>
          <w:rFonts w:ascii="Times New Roman" w:hAnsi="Times New Roman" w:cs="Times New Roman"/>
          <w:sz w:val="24"/>
          <w:szCs w:val="24"/>
          <w:lang w:val="fr-FR"/>
        </w:rPr>
        <w:t xml:space="preserve"> de mais</w:t>
      </w:r>
      <w:r w:rsidR="00F04857">
        <w:rPr>
          <w:rFonts w:ascii="Times New Roman" w:hAnsi="Times New Roman" w:cs="Times New Roman"/>
          <w:sz w:val="24"/>
          <w:szCs w:val="24"/>
          <w:lang w:val="fr-FR"/>
        </w:rPr>
        <w:t>on de la commune de Port-Salut, l</w:t>
      </w:r>
      <w:r w:rsidRPr="0018734F">
        <w:rPr>
          <w:rFonts w:ascii="Times New Roman" w:hAnsi="Times New Roman" w:cs="Times New Roman"/>
          <w:sz w:val="24"/>
          <w:szCs w:val="24"/>
          <w:lang w:val="fr-FR"/>
        </w:rPr>
        <w:t>es résultats ont puisé des informations se trouvant à la base de données de l’enquête.</w:t>
      </w:r>
    </w:p>
    <w:p w:rsidR="00A057F4" w:rsidRPr="0018734F" w:rsidRDefault="00A057F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2.1. Position géographique des maisons</w:t>
      </w:r>
    </w:p>
    <w:p w:rsidR="00A057F4" w:rsidRPr="0018734F" w:rsidRDefault="00A057F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8734F">
        <w:rPr>
          <w:rFonts w:ascii="Times New Roman" w:hAnsi="Times New Roman" w:cs="Times New Roman"/>
          <w:sz w:val="24"/>
          <w:szCs w:val="24"/>
          <w:lang w:val="fr-FR"/>
        </w:rPr>
        <w:t xml:space="preserve">Il ressort de l’analyse de données du graphique 2 que la majorité des maisons se trouvant à la zone urbaine au </w:t>
      </w:r>
      <w:r w:rsidR="00F04857">
        <w:rPr>
          <w:rFonts w:ascii="Times New Roman" w:hAnsi="Times New Roman" w:cs="Times New Roman"/>
          <w:sz w:val="24"/>
          <w:szCs w:val="24"/>
          <w:lang w:val="fr-FR"/>
        </w:rPr>
        <w:t>centre-ville de Port-Salut,</w:t>
      </w:r>
      <w:r w:rsidRPr="0018734F">
        <w:rPr>
          <w:rFonts w:ascii="Times New Roman" w:hAnsi="Times New Roman" w:cs="Times New Roman"/>
          <w:sz w:val="24"/>
          <w:szCs w:val="24"/>
          <w:lang w:val="fr-FR"/>
        </w:rPr>
        <w:t xml:space="preserve"> représente en moyenne 37.44% par rapport au nombre total de maisons identifiées.</w:t>
      </w:r>
    </w:p>
    <w:p w:rsidR="00A057F4" w:rsidRDefault="00A057F4" w:rsidP="00A057F4">
      <w:pPr>
        <w:pStyle w:val="NoSpacing"/>
        <w:rPr>
          <w:lang w:val="fr-FR"/>
        </w:rPr>
      </w:pPr>
      <w:r>
        <w:rPr>
          <w:lang w:val="fr-FR"/>
        </w:rPr>
        <w:t>Graphe 2 :</w:t>
      </w:r>
    </w:p>
    <w:p w:rsidR="00A057F4" w:rsidRDefault="00C81F80" w:rsidP="00A057F4">
      <w:pPr>
        <w:pStyle w:val="NoSpacing"/>
        <w:rPr>
          <w:lang w:val="fr-FR"/>
        </w:rPr>
      </w:pPr>
      <w:r>
        <w:rPr>
          <w:noProof/>
        </w:rPr>
        <w:drawing>
          <wp:inline distT="0" distB="0" distL="0" distR="0" wp14:anchorId="188E8583" wp14:editId="011002FC">
            <wp:extent cx="4572000" cy="2105025"/>
            <wp:effectExtent l="0" t="0" r="0" b="9525"/>
            <wp:docPr id="23" name="Chart 2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83775AC8-F1D7-481C-B614-D7C26601C5B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057F4" w:rsidRPr="001F4B57" w:rsidRDefault="00283215" w:rsidP="00A057F4">
      <w:pPr>
        <w:spacing w:line="360" w:lineRule="auto"/>
        <w:jc w:val="both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E36DA4" w:rsidRDefault="00E36DA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2.2. Niveau de prix du loyer par année</w:t>
      </w:r>
    </w:p>
    <w:p w:rsidR="00A057F4" w:rsidRDefault="00533BE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33BE4">
        <w:rPr>
          <w:rFonts w:ascii="Times New Roman" w:hAnsi="Times New Roman" w:cs="Times New Roman"/>
          <w:sz w:val="24"/>
          <w:szCs w:val="24"/>
          <w:lang w:val="fr-FR"/>
        </w:rPr>
        <w:t>Au cours de l’enquête, les locataires et p</w:t>
      </w:r>
      <w:r w:rsidR="0012199D">
        <w:rPr>
          <w:rFonts w:ascii="Times New Roman" w:hAnsi="Times New Roman" w:cs="Times New Roman"/>
          <w:sz w:val="24"/>
          <w:szCs w:val="24"/>
          <w:lang w:val="fr-FR"/>
        </w:rPr>
        <w:t>ropriétaires mentionnent le co</w:t>
      </w:r>
      <w:r w:rsidR="0012199D">
        <w:rPr>
          <w:rFonts w:ascii="Leelawadee" w:hAnsi="Leelawadee" w:cs="Leelawadee"/>
          <w:sz w:val="24"/>
          <w:szCs w:val="24"/>
          <w:lang w:val="fr-FR"/>
        </w:rPr>
        <w:t>û</w:t>
      </w:r>
      <w:r w:rsidRPr="00533BE4">
        <w:rPr>
          <w:rFonts w:ascii="Times New Roman" w:hAnsi="Times New Roman" w:cs="Times New Roman"/>
          <w:sz w:val="24"/>
          <w:szCs w:val="24"/>
          <w:lang w:val="fr-FR"/>
        </w:rPr>
        <w:t>t du loyer diffère très fortement selon les surfaces (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2</m:t>
            </m:r>
          </m:sup>
        </m:sSup>
      </m:oMath>
      <w:r w:rsidRPr="00533BE4">
        <w:rPr>
          <w:rFonts w:ascii="Times New Roman" w:hAnsi="Times New Roman" w:cs="Times New Roman"/>
          <w:sz w:val="24"/>
          <w:szCs w:val="24"/>
          <w:lang w:val="fr-FR"/>
        </w:rPr>
        <w:t xml:space="preserve">), le nombre de </w:t>
      </w:r>
      <w:r w:rsidR="0012199D">
        <w:rPr>
          <w:rFonts w:ascii="Times New Roman" w:hAnsi="Times New Roman" w:cs="Times New Roman"/>
          <w:sz w:val="24"/>
          <w:szCs w:val="24"/>
          <w:lang w:val="fr-FR"/>
        </w:rPr>
        <w:t>chambres</w:t>
      </w:r>
      <w:r w:rsidRPr="00533BE4">
        <w:rPr>
          <w:rFonts w:ascii="Times New Roman" w:hAnsi="Times New Roman" w:cs="Times New Roman"/>
          <w:sz w:val="24"/>
          <w:szCs w:val="24"/>
          <w:lang w:val="fr-FR"/>
        </w:rPr>
        <w:t xml:space="preserve"> et la zone où la maison se situe. </w:t>
      </w:r>
      <w:r w:rsidR="00A057F4" w:rsidRPr="00533BE4">
        <w:rPr>
          <w:rFonts w:ascii="Times New Roman" w:hAnsi="Times New Roman" w:cs="Times New Roman"/>
          <w:sz w:val="24"/>
          <w:szCs w:val="24"/>
          <w:lang w:val="fr-FR"/>
        </w:rPr>
        <w:t>Suite à l’analyse d</w:t>
      </w:r>
      <w:r w:rsidR="00E915AD">
        <w:rPr>
          <w:rFonts w:ascii="Times New Roman" w:hAnsi="Times New Roman" w:cs="Times New Roman"/>
          <w:sz w:val="24"/>
          <w:szCs w:val="24"/>
          <w:lang w:val="fr-FR"/>
        </w:rPr>
        <w:t>e données, le co</w:t>
      </w:r>
      <w:r w:rsidR="00E915AD">
        <w:rPr>
          <w:rFonts w:ascii="Leelawadee" w:hAnsi="Leelawadee" w:cs="Leelawadee"/>
          <w:sz w:val="24"/>
          <w:szCs w:val="24"/>
          <w:lang w:val="fr-FR"/>
        </w:rPr>
        <w:t>û</w:t>
      </w:r>
      <w:r w:rsidR="00DC796E" w:rsidRPr="00533BE4">
        <w:rPr>
          <w:rFonts w:ascii="Times New Roman" w:hAnsi="Times New Roman" w:cs="Times New Roman"/>
          <w:sz w:val="24"/>
          <w:szCs w:val="24"/>
          <w:lang w:val="fr-FR"/>
        </w:rPr>
        <w:t xml:space="preserve">t </w:t>
      </w:r>
      <w:r w:rsidR="00B42B6B">
        <w:rPr>
          <w:rFonts w:ascii="Times New Roman" w:hAnsi="Times New Roman" w:cs="Times New Roman"/>
          <w:sz w:val="24"/>
          <w:szCs w:val="24"/>
          <w:lang w:val="fr-FR"/>
        </w:rPr>
        <w:t xml:space="preserve">moyen annuel </w:t>
      </w:r>
      <w:r w:rsidR="00DC796E" w:rsidRPr="00533BE4">
        <w:rPr>
          <w:rFonts w:ascii="Times New Roman" w:hAnsi="Times New Roman" w:cs="Times New Roman"/>
          <w:sz w:val="24"/>
          <w:szCs w:val="24"/>
          <w:lang w:val="fr-FR"/>
        </w:rPr>
        <w:t xml:space="preserve">du loyer </w:t>
      </w:r>
      <w:r w:rsidR="00AA5904">
        <w:rPr>
          <w:rFonts w:ascii="Times New Roman" w:hAnsi="Times New Roman" w:cs="Times New Roman"/>
          <w:sz w:val="24"/>
          <w:szCs w:val="24"/>
          <w:lang w:val="fr-FR"/>
        </w:rPr>
        <w:t xml:space="preserve">pour une chambre de maison </w:t>
      </w:r>
      <w:r w:rsidRPr="00533BE4">
        <w:rPr>
          <w:rFonts w:ascii="Times New Roman" w:hAnsi="Times New Roman" w:cs="Times New Roman"/>
          <w:sz w:val="24"/>
          <w:szCs w:val="24"/>
          <w:lang w:val="fr-FR"/>
        </w:rPr>
        <w:t>est :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A5904" w:rsidRPr="007146B1">
        <w:rPr>
          <w:rFonts w:ascii="Arial" w:eastAsia="Times New Roman" w:hAnsi="Arial" w:cs="Arial"/>
          <w:sz w:val="20"/>
          <w:szCs w:val="20"/>
          <w:lang w:val="fr-FR"/>
        </w:rPr>
        <w:t>14438.46154</w:t>
      </w:r>
      <w:r w:rsidR="00AA5904" w:rsidRPr="00AA5904">
        <w:rPr>
          <w:rFonts w:ascii="Arial" w:eastAsia="Times New Roman" w:hAnsi="Arial" w:cs="Arial"/>
          <w:sz w:val="20"/>
          <w:szCs w:val="20"/>
          <w:lang w:val="fr-FR"/>
        </w:rPr>
        <w:t xml:space="preserve"> </w:t>
      </w:r>
      <w:r w:rsidR="00204979">
        <w:rPr>
          <w:rFonts w:ascii="Times New Roman" w:hAnsi="Times New Roman" w:cs="Times New Roman"/>
          <w:sz w:val="24"/>
          <w:szCs w:val="24"/>
          <w:lang w:val="fr-FR"/>
        </w:rPr>
        <w:t xml:space="preserve">gourdes. </w:t>
      </w:r>
    </w:p>
    <w:p w:rsidR="00F06E8D" w:rsidRDefault="00F06E8D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7146B1" w:rsidRDefault="007146B1" w:rsidP="00A057F4">
      <w:pPr>
        <w:pStyle w:val="NoSpacing"/>
        <w:rPr>
          <w:lang w:val="fr-FR"/>
        </w:rPr>
      </w:pPr>
    </w:p>
    <w:p w:rsidR="007146B1" w:rsidRDefault="007146B1" w:rsidP="00A057F4">
      <w:pPr>
        <w:pStyle w:val="NoSpacing"/>
        <w:rPr>
          <w:lang w:val="fr-FR"/>
        </w:rPr>
      </w:pPr>
    </w:p>
    <w:p w:rsidR="007146B1" w:rsidRDefault="007146B1" w:rsidP="00A057F4">
      <w:pPr>
        <w:pStyle w:val="NoSpacing"/>
        <w:rPr>
          <w:lang w:val="fr-FR"/>
        </w:rPr>
      </w:pPr>
    </w:p>
    <w:p w:rsidR="007146B1" w:rsidRPr="007146B1" w:rsidRDefault="007146B1" w:rsidP="00A057F4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 w:rsidRPr="007146B1">
        <w:rPr>
          <w:rFonts w:ascii="Times New Roman" w:hAnsi="Times New Roman" w:cs="Times New Roman"/>
          <w:b/>
          <w:i/>
          <w:sz w:val="24"/>
          <w:szCs w:val="24"/>
          <w:lang w:val="fr-FR"/>
        </w:rPr>
        <w:t>Remarque</w:t>
      </w:r>
      <w:r w:rsidR="00BB0425">
        <w:rPr>
          <w:rFonts w:ascii="Times New Roman" w:hAnsi="Times New Roman" w:cs="Times New Roman"/>
          <w:sz w:val="24"/>
          <w:szCs w:val="24"/>
          <w:lang w:val="fr-FR"/>
        </w:rPr>
        <w:t> : Prix moyen annuel du loyer par chambre</w:t>
      </w:r>
      <w:r w:rsidRPr="007146B1"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tbl>
      <w:tblPr>
        <w:tblW w:w="5339" w:type="dxa"/>
        <w:tblLook w:val="04A0" w:firstRow="1" w:lastRow="0" w:firstColumn="1" w:lastColumn="0" w:noHBand="0" w:noVBand="1"/>
      </w:tblPr>
      <w:tblGrid>
        <w:gridCol w:w="4225"/>
        <w:gridCol w:w="1384"/>
      </w:tblGrid>
      <w:tr w:rsidR="007146B1" w:rsidRPr="007146B1" w:rsidTr="00970AA8">
        <w:trPr>
          <w:trHeight w:val="255"/>
        </w:trPr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7146B1" w:rsidRPr="007146B1" w:rsidRDefault="00E424DC" w:rsidP="007146B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Paramè</w:t>
            </w:r>
            <w:r w:rsidR="007146B1" w:rsidRPr="007146B1">
              <w:rPr>
                <w:rFonts w:ascii="Arial" w:eastAsia="Times New Roman" w:hAnsi="Arial" w:cs="Arial"/>
                <w:b/>
                <w:sz w:val="20"/>
                <w:szCs w:val="20"/>
              </w:rPr>
              <w:t>tre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Valeur </w:t>
            </w:r>
            <w:r w:rsidR="00760E89">
              <w:rPr>
                <w:rFonts w:ascii="Arial" w:eastAsia="Times New Roman" w:hAnsi="Arial" w:cs="Arial"/>
                <w:b/>
                <w:sz w:val="20"/>
                <w:szCs w:val="20"/>
              </w:rPr>
              <w:t>(</w:t>
            </w:r>
            <w:r w:rsidRPr="007146B1">
              <w:rPr>
                <w:rFonts w:ascii="Arial" w:eastAsia="Times New Roman" w:hAnsi="Arial" w:cs="Arial"/>
                <w:b/>
                <w:sz w:val="20"/>
                <w:szCs w:val="20"/>
              </w:rPr>
              <w:t>en gourdes</w:t>
            </w:r>
            <w:r w:rsidR="00760E89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9864E9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Prix minimum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4000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9864E9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Prix maximum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50000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970AA8" w:rsidRDefault="004F0858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Prix moyen</w:t>
            </w:r>
            <w:r w:rsidR="00970AA8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annuel</w:t>
            </w:r>
            <w:r w:rsidR="007146B1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pour 1 chambre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14438.46154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970AA8" w:rsidRDefault="004F0858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Prix moyen</w:t>
            </w:r>
            <w:r w:rsidR="007146B1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970AA8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annuel </w:t>
            </w:r>
            <w:r w:rsidR="007146B1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pour 2 chambres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17647.05882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970AA8" w:rsidRDefault="004F0858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Prix moyen</w:t>
            </w:r>
            <w:r w:rsidR="00970AA8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annuel</w:t>
            </w:r>
            <w:r w:rsidR="007146B1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pour 3 chambres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19666.66667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970AA8" w:rsidRDefault="004F0858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Prix moyen</w:t>
            </w:r>
            <w:r w:rsidR="007146B1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970AA8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annuel </w:t>
            </w:r>
            <w:r w:rsidR="007146B1" w:rsidRP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pour 4 chambres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7146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22272.72727</w:t>
            </w:r>
          </w:p>
        </w:tc>
      </w:tr>
      <w:tr w:rsidR="007146B1" w:rsidRPr="007146B1" w:rsidTr="00970AA8">
        <w:trPr>
          <w:trHeight w:val="255"/>
        </w:trPr>
        <w:tc>
          <w:tcPr>
            <w:tcW w:w="4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4F0858" w:rsidP="007146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Prix moyen</w:t>
            </w:r>
            <w:r w:rsidR="00970AA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annuel</w:t>
            </w: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7146B1" w:rsidRPr="007146B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pour 4 chambres et plus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6B1" w:rsidRPr="007146B1" w:rsidRDefault="007146B1" w:rsidP="001A71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146B1">
              <w:rPr>
                <w:rFonts w:ascii="Arial" w:eastAsia="Times New Roman" w:hAnsi="Arial" w:cs="Arial"/>
                <w:sz w:val="20"/>
                <w:szCs w:val="20"/>
              </w:rPr>
              <w:t>26515.625</w:t>
            </w:r>
          </w:p>
        </w:tc>
      </w:tr>
    </w:tbl>
    <w:p w:rsidR="007146B1" w:rsidRDefault="007146B1" w:rsidP="00A057F4">
      <w:pPr>
        <w:pStyle w:val="NoSpacing"/>
        <w:rPr>
          <w:lang w:val="fr-FR"/>
        </w:rPr>
      </w:pPr>
    </w:p>
    <w:p w:rsidR="00065F3F" w:rsidRPr="000B516C" w:rsidRDefault="00065F3F" w:rsidP="00A057F4">
      <w:pPr>
        <w:pStyle w:val="NoSpacing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0B516C">
        <w:rPr>
          <w:rFonts w:ascii="Times New Roman" w:hAnsi="Times New Roman" w:cs="Times New Roman"/>
          <w:b/>
          <w:i/>
          <w:sz w:val="24"/>
          <w:szCs w:val="24"/>
          <w:lang w:val="fr-FR"/>
        </w:rPr>
        <w:t>Tableau </w:t>
      </w:r>
      <w:r w:rsidR="00A2164D" w:rsidRPr="000B516C">
        <w:rPr>
          <w:rFonts w:ascii="Times New Roman" w:hAnsi="Times New Roman" w:cs="Times New Roman"/>
          <w:b/>
          <w:i/>
          <w:sz w:val="24"/>
          <w:szCs w:val="24"/>
          <w:lang w:val="fr-FR"/>
        </w:rPr>
        <w:t>3</w:t>
      </w:r>
      <w:r w:rsidR="00A2164D" w:rsidRPr="000B516C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="001666CE">
        <w:rPr>
          <w:rFonts w:ascii="Times New Roman" w:hAnsi="Times New Roman" w:cs="Times New Roman"/>
          <w:i/>
          <w:sz w:val="24"/>
          <w:szCs w:val="24"/>
          <w:lang w:val="fr-FR"/>
        </w:rPr>
        <w:t>: Répartition de</w:t>
      </w:r>
      <w:r w:rsidRPr="000B516C">
        <w:rPr>
          <w:rFonts w:ascii="Times New Roman" w:hAnsi="Times New Roman" w:cs="Times New Roman"/>
          <w:i/>
          <w:sz w:val="24"/>
          <w:szCs w:val="24"/>
          <w:lang w:val="fr-FR"/>
        </w:rPr>
        <w:t xml:space="preserve"> prix annuel du loyer par chambre</w:t>
      </w:r>
    </w:p>
    <w:tbl>
      <w:tblPr>
        <w:tblW w:w="8635" w:type="dxa"/>
        <w:tblLayout w:type="fixed"/>
        <w:tblLook w:val="04A0" w:firstRow="1" w:lastRow="0" w:firstColumn="1" w:lastColumn="0" w:noHBand="0" w:noVBand="1"/>
      </w:tblPr>
      <w:tblGrid>
        <w:gridCol w:w="1345"/>
        <w:gridCol w:w="1170"/>
        <w:gridCol w:w="1304"/>
        <w:gridCol w:w="1306"/>
        <w:gridCol w:w="1530"/>
        <w:gridCol w:w="1980"/>
      </w:tblGrid>
      <w:tr w:rsidR="00065F3F" w:rsidRPr="0041124C" w:rsidTr="007C0564">
        <w:trPr>
          <w:trHeight w:val="255"/>
        </w:trPr>
        <w:tc>
          <w:tcPr>
            <w:tcW w:w="8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</w:pPr>
            <w:r w:rsidRPr="00065F3F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 xml:space="preserve">Analyse </w:t>
            </w:r>
            <w:r w:rsidR="00F22982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/>
              </w:rPr>
              <w:t>de prix annuel du loyer par chambre</w:t>
            </w:r>
            <w:r w:rsidRPr="00065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065F3F" w:rsidRPr="00065F3F" w:rsidTr="007C0564">
        <w:trPr>
          <w:trHeight w:val="51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4476BD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4476BD">
              <w:rPr>
                <w:rFonts w:ascii="Arial" w:eastAsia="Times New Roman" w:hAnsi="Arial" w:cs="Arial"/>
                <w:b/>
                <w:sz w:val="20"/>
                <w:szCs w:val="20"/>
              </w:rPr>
              <w:t>Categorie</w:t>
            </w:r>
            <w:proofErr w:type="spellEnd"/>
            <w:r w:rsidRPr="004476B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de prix</w:t>
            </w:r>
          </w:p>
        </w:tc>
        <w:tc>
          <w:tcPr>
            <w:tcW w:w="7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4476BD" w:rsidRDefault="007C0564" w:rsidP="00065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</w:t>
            </w:r>
            <w:r w:rsidR="00065F3F" w:rsidRPr="004476BD">
              <w:rPr>
                <w:rFonts w:ascii="Arial" w:eastAsia="Times New Roman" w:hAnsi="Arial" w:cs="Arial"/>
                <w:b/>
                <w:sz w:val="20"/>
                <w:szCs w:val="20"/>
              </w:rPr>
              <w:t>hambre</w:t>
            </w:r>
            <w:proofErr w:type="spellEnd"/>
          </w:p>
        </w:tc>
      </w:tr>
      <w:tr w:rsidR="00065F3F" w:rsidRPr="00065F3F" w:rsidTr="007C0564">
        <w:trPr>
          <w:trHeight w:val="60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Categorie</w:t>
            </w:r>
            <w:proofErr w:type="spellEnd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de prix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chambre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2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chambres</w:t>
            </w:r>
            <w:proofErr w:type="spell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3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chambres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4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chambres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4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chambres</w:t>
            </w:r>
            <w:proofErr w:type="spellEnd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et plus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4000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9000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9500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14500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15000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20000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20500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25500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26000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31000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31500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36500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37000 </w:t>
            </w:r>
            <w:r w:rsidRPr="00065F3F">
              <w:rPr>
                <w:rFonts w:ascii="Times New Roman" w:eastAsia="Times New Roman" w:hAnsi="Times New Roman" w:cs="Times New Roman"/>
                <w:sz w:val="20"/>
                <w:szCs w:val="20"/>
              </w:rPr>
              <w:t>à</w:t>
            </w: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42000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065F3F" w:rsidRPr="00065F3F" w:rsidTr="007C0564">
        <w:trPr>
          <w:trHeight w:val="82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Entre 42500 </w:t>
            </w:r>
            <w:proofErr w:type="spellStart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>Gdes</w:t>
            </w:r>
            <w:proofErr w:type="spellEnd"/>
            <w:r w:rsidRPr="00065F3F">
              <w:rPr>
                <w:rFonts w:ascii="Arial" w:eastAsia="Times New Roman" w:hAnsi="Arial" w:cs="Arial"/>
                <w:sz w:val="20"/>
                <w:szCs w:val="20"/>
              </w:rPr>
              <w:t xml:space="preserve"> et plus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F3F" w:rsidRPr="00065F3F" w:rsidRDefault="00065F3F" w:rsidP="00065F3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5F3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</w:tbl>
    <w:p w:rsidR="00A44BFC" w:rsidRDefault="00283215" w:rsidP="00A057F4">
      <w:pPr>
        <w:pStyle w:val="NoSpacing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5E0440" w:rsidRDefault="005E0440" w:rsidP="00A057F4">
      <w:pPr>
        <w:pStyle w:val="NoSpacing"/>
        <w:rPr>
          <w:i/>
          <w:lang w:val="fr-FR"/>
        </w:rPr>
      </w:pPr>
    </w:p>
    <w:p w:rsidR="005E0440" w:rsidRDefault="005E0440" w:rsidP="00A057F4">
      <w:pPr>
        <w:pStyle w:val="NoSpacing"/>
        <w:rPr>
          <w:i/>
          <w:lang w:val="fr-FR"/>
        </w:rPr>
      </w:pPr>
    </w:p>
    <w:p w:rsidR="005E0440" w:rsidRDefault="005E0440" w:rsidP="00A057F4">
      <w:pPr>
        <w:pStyle w:val="NoSpacing"/>
        <w:rPr>
          <w:i/>
          <w:lang w:val="fr-FR"/>
        </w:rPr>
      </w:pPr>
    </w:p>
    <w:p w:rsidR="005E0440" w:rsidRDefault="005E0440" w:rsidP="00A057F4">
      <w:pPr>
        <w:pStyle w:val="NoSpacing"/>
        <w:rPr>
          <w:i/>
          <w:lang w:val="fr-FR"/>
        </w:rPr>
      </w:pPr>
    </w:p>
    <w:p w:rsidR="00A057F4" w:rsidRDefault="00A057F4" w:rsidP="00A057F4">
      <w:pPr>
        <w:pStyle w:val="NoSpacing"/>
        <w:rPr>
          <w:lang w:val="fr-FR"/>
        </w:rPr>
      </w:pPr>
      <w:r>
        <w:rPr>
          <w:lang w:val="fr-FR"/>
        </w:rPr>
        <w:t>Graphe 3</w:t>
      </w:r>
    </w:p>
    <w:p w:rsidR="00A057F4" w:rsidRDefault="00EE60EC" w:rsidP="00A057F4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</w:rPr>
        <w:drawing>
          <wp:inline distT="0" distB="0" distL="0" distR="0" wp14:anchorId="58B1A192" wp14:editId="04C52407">
            <wp:extent cx="5218981" cy="2846717"/>
            <wp:effectExtent l="0" t="0" r="1270" b="10795"/>
            <wp:docPr id="11" name="Chart 1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BE8C49FE-A9D3-41BA-AF8E-CBFAF91BB7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057F4" w:rsidRDefault="00A44BFC" w:rsidP="00A057F4">
      <w:pPr>
        <w:spacing w:line="360" w:lineRule="auto"/>
        <w:jc w:val="both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7017F7" w:rsidRDefault="007017F7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2.3. Evolution des prix du loyer suite au passage de l’ouragan Matthew</w:t>
      </w:r>
    </w:p>
    <w:p w:rsidR="00A057F4" w:rsidRDefault="00A057F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L’analyse des données de l’enquête du marché 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fr-FR"/>
        </w:rPr>
        <w:t>location de maisons montre qu’après le passage de l’ouragan Matth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ew, le prix du loyer a </w:t>
      </w:r>
      <w:r>
        <w:rPr>
          <w:rFonts w:ascii="Times New Roman" w:hAnsi="Times New Roman" w:cs="Times New Roman"/>
          <w:sz w:val="24"/>
          <w:szCs w:val="24"/>
          <w:lang w:val="fr-FR"/>
        </w:rPr>
        <w:t>considérablement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 augmenté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par rapport aux années précédentes. 59.36% des maisons ont subi cette augmentation.</w:t>
      </w:r>
    </w:p>
    <w:p w:rsidR="00A057F4" w:rsidRDefault="00A057F4" w:rsidP="00A057F4">
      <w:pPr>
        <w:pStyle w:val="NoSpacing"/>
        <w:rPr>
          <w:lang w:val="fr-FR"/>
        </w:rPr>
      </w:pPr>
      <w:r>
        <w:rPr>
          <w:lang w:val="fr-FR"/>
        </w:rPr>
        <w:t>Graphe 4</w:t>
      </w:r>
    </w:p>
    <w:p w:rsidR="00A057F4" w:rsidRDefault="00A057F4" w:rsidP="00A057F4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</w:rPr>
        <w:lastRenderedPageBreak/>
        <w:drawing>
          <wp:inline distT="0" distB="0" distL="0" distR="0" wp14:anchorId="4978CB4D" wp14:editId="3A1C382B">
            <wp:extent cx="4467225" cy="2714625"/>
            <wp:effectExtent l="0" t="0" r="9525" b="9525"/>
            <wp:docPr id="4" name="Chart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CBF557E0-91B0-4792-A22E-47EEB380B3B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44BFC" w:rsidRDefault="00A44BFC" w:rsidP="007017F7">
      <w:pPr>
        <w:spacing w:line="360" w:lineRule="auto"/>
        <w:ind w:firstLine="720"/>
        <w:jc w:val="both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2.4. Type de maisons disponibles à louer</w:t>
      </w:r>
    </w:p>
    <w:p w:rsidR="00A057F4" w:rsidRDefault="00986775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L’analyse de cette </w:t>
      </w:r>
      <w:r w:rsidR="00C23475">
        <w:rPr>
          <w:rFonts w:ascii="Times New Roman" w:hAnsi="Times New Roman" w:cs="Times New Roman"/>
          <w:sz w:val="24"/>
          <w:szCs w:val="24"/>
          <w:lang w:val="fr-FR"/>
        </w:rPr>
        <w:t>réponse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permet de cerner plus 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>précisément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que la majorité des maisons à Port-Salut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 xml:space="preserve"> est construite avec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 des 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>tôle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des 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>bloc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 xml:space="preserve">. Ainsi, grâce à ces informations précieuses que cette </w:t>
      </w:r>
      <w:r w:rsidR="00945DF4">
        <w:rPr>
          <w:rFonts w:ascii="Times New Roman" w:hAnsi="Times New Roman" w:cs="Times New Roman"/>
          <w:sz w:val="24"/>
          <w:szCs w:val="24"/>
          <w:lang w:val="fr-FR"/>
        </w:rPr>
        <w:t>réponse</w:t>
      </w:r>
      <w:r w:rsidR="00A81B6E">
        <w:rPr>
          <w:rFonts w:ascii="Times New Roman" w:hAnsi="Times New Roman" w:cs="Times New Roman"/>
          <w:sz w:val="24"/>
          <w:szCs w:val="24"/>
          <w:lang w:val="fr-FR"/>
        </w:rPr>
        <w:t xml:space="preserve"> apporte, elle représente 52.90% des maisons identifiées.</w:t>
      </w:r>
    </w:p>
    <w:p w:rsidR="00A057F4" w:rsidRDefault="00A057F4" w:rsidP="00A057F4">
      <w:pPr>
        <w:pStyle w:val="NoSpacing"/>
        <w:rPr>
          <w:lang w:val="fr-FR"/>
        </w:rPr>
      </w:pPr>
      <w:r>
        <w:rPr>
          <w:lang w:val="fr-FR"/>
        </w:rPr>
        <w:t>Graphe 5</w:t>
      </w:r>
    </w:p>
    <w:p w:rsidR="00A057F4" w:rsidRDefault="005E039F" w:rsidP="00A057F4">
      <w:pPr>
        <w:pStyle w:val="NoSpacing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</w:rPr>
        <w:drawing>
          <wp:inline distT="0" distB="0" distL="0" distR="0" wp14:anchorId="305180CF" wp14:editId="6665B79A">
            <wp:extent cx="4105275" cy="1800225"/>
            <wp:effectExtent l="0" t="0" r="9525" b="9525"/>
            <wp:docPr id="24" name="Chart 2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7F0356A6-9982-4046-847F-3B2C8D78A2A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C196A" w:rsidRDefault="00A44BFC" w:rsidP="00A057F4">
      <w:pPr>
        <w:spacing w:line="360" w:lineRule="auto"/>
        <w:jc w:val="both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7017F7" w:rsidRPr="001F4B57" w:rsidRDefault="007017F7" w:rsidP="00A057F4">
      <w:pPr>
        <w:spacing w:line="360" w:lineRule="auto"/>
        <w:jc w:val="both"/>
        <w:rPr>
          <w:i/>
          <w:lang w:val="fr-FR"/>
        </w:rPr>
      </w:pPr>
    </w:p>
    <w:p w:rsidR="00A057F4" w:rsidRPr="00792EAF" w:rsidRDefault="00A057F4" w:rsidP="00A057F4">
      <w:pPr>
        <w:spacing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2.5. Services disponibles dans les maisons à louer</w:t>
      </w:r>
    </w:p>
    <w:p w:rsidR="00A057F4" w:rsidRDefault="00DC796E" w:rsidP="00A057F4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sz w:val="24"/>
          <w:szCs w:val="24"/>
          <w:lang w:val="fr-FR"/>
        </w:rPr>
        <w:lastRenderedPageBreak/>
        <w:t>Les services de maisons à louer au niveau de la commune de Port-Salut varie d’une commune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à l’autre. Donc, ils sont 60, soit 38.70% de propriétaires</w:t>
      </w:r>
      <w:r w:rsidR="00FC5C20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2A79F5">
        <w:rPr>
          <w:rFonts w:ascii="Times New Roman" w:hAnsi="Times New Roman" w:cs="Times New Roman"/>
          <w:sz w:val="24"/>
          <w:szCs w:val="24"/>
          <w:lang w:val="fr-FR"/>
        </w:rPr>
        <w:t>locataires interviewés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à </w:t>
      </w:r>
      <w:r w:rsidR="002A79F5">
        <w:rPr>
          <w:rFonts w:ascii="Times New Roman" w:hAnsi="Times New Roman" w:cs="Times New Roman"/>
          <w:sz w:val="24"/>
          <w:szCs w:val="24"/>
          <w:lang w:val="fr-FR"/>
        </w:rPr>
        <w:t>déclarer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que les services de base disponibles dans les maisons sont : cuisine et latrine.</w:t>
      </w:r>
    </w:p>
    <w:p w:rsidR="000C196A" w:rsidRPr="00792EAF" w:rsidRDefault="000C196A" w:rsidP="000C196A">
      <w:pPr>
        <w:pStyle w:val="NoSpacing"/>
        <w:rPr>
          <w:lang w:val="fr-FR"/>
        </w:rPr>
      </w:pPr>
      <w:r>
        <w:rPr>
          <w:lang w:val="fr-FR"/>
        </w:rPr>
        <w:t>Graphe 6</w:t>
      </w:r>
    </w:p>
    <w:p w:rsidR="00A057F4" w:rsidRPr="00C81F80" w:rsidRDefault="00C81F80" w:rsidP="00C81F80">
      <w:pPr>
        <w:rPr>
          <w:lang w:val="fr-FR"/>
        </w:rPr>
      </w:pPr>
      <w:r>
        <w:rPr>
          <w:noProof/>
        </w:rPr>
        <w:drawing>
          <wp:inline distT="0" distB="0" distL="0" distR="0" wp14:anchorId="37DDA52F" wp14:editId="4D16C355">
            <wp:extent cx="3802799" cy="2484407"/>
            <wp:effectExtent l="0" t="0" r="7620" b="11430"/>
            <wp:docPr id="7" name="Chart 7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F7959A77-652B-4E98-9341-B923F4D74D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44BFC" w:rsidRDefault="00A44BFC" w:rsidP="00302680">
      <w:pPr>
        <w:spacing w:line="360" w:lineRule="auto"/>
        <w:jc w:val="both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A057F4" w:rsidRPr="00792EAF" w:rsidRDefault="00A057F4" w:rsidP="00A057F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b/>
          <w:sz w:val="24"/>
          <w:szCs w:val="24"/>
          <w:lang w:val="fr-FR"/>
        </w:rPr>
        <w:t>2.6. Niveau de dommage de maisons suite au passage de l’ouragan Matthew</w:t>
      </w:r>
    </w:p>
    <w:p w:rsidR="00A057F4" w:rsidRPr="00792EAF" w:rsidRDefault="00A057F4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92EAF">
        <w:rPr>
          <w:rFonts w:ascii="Times New Roman" w:hAnsi="Times New Roman" w:cs="Times New Roman"/>
          <w:sz w:val="24"/>
          <w:szCs w:val="24"/>
          <w:lang w:val="fr-FR"/>
        </w:rPr>
        <w:t>Selon les données collectées sur le terrain durant l’enquête location de maisons, la majorité des maisons à louer n’a pas su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 xml:space="preserve">bi de dommage. Parmi les 155 </w:t>
      </w:r>
      <w:r w:rsidRPr="00792EAF">
        <w:rPr>
          <w:rFonts w:ascii="Times New Roman" w:hAnsi="Times New Roman" w:cs="Times New Roman"/>
          <w:sz w:val="24"/>
          <w:szCs w:val="24"/>
          <w:lang w:val="fr-FR"/>
        </w:rPr>
        <w:t>maisons visitées, seulement 92 sur 155 maisons, soit 59.35%, qui n’</w:t>
      </w:r>
      <w:r w:rsidR="00F52485">
        <w:rPr>
          <w:rFonts w:ascii="Times New Roman" w:hAnsi="Times New Roman" w:cs="Times New Roman"/>
          <w:sz w:val="24"/>
          <w:szCs w:val="24"/>
          <w:lang w:val="fr-FR"/>
        </w:rPr>
        <w:t>ont pas été affectées par les</w:t>
      </w:r>
      <w:r w:rsidRPr="00792EAF">
        <w:rPr>
          <w:rFonts w:ascii="Times New Roman" w:hAnsi="Times New Roman" w:cs="Times New Roman"/>
          <w:sz w:val="24"/>
          <w:szCs w:val="24"/>
          <w:lang w:val="fr-FR"/>
        </w:rPr>
        <w:t xml:space="preserve"> dégâts causés par l’ouragan Matthew.</w:t>
      </w:r>
    </w:p>
    <w:p w:rsidR="00A057F4" w:rsidRDefault="00A057F4" w:rsidP="00A057F4">
      <w:pPr>
        <w:pStyle w:val="NoSpacing"/>
        <w:rPr>
          <w:lang w:val="fr-FR"/>
        </w:rPr>
      </w:pPr>
      <w:r>
        <w:rPr>
          <w:lang w:val="fr-FR"/>
        </w:rPr>
        <w:t>Graphe 7 :</w:t>
      </w:r>
    </w:p>
    <w:p w:rsidR="00A057F4" w:rsidRDefault="00A057F4" w:rsidP="00A057F4">
      <w:pPr>
        <w:pStyle w:val="NoSpacing"/>
        <w:rPr>
          <w:lang w:val="fr-FR"/>
        </w:rPr>
      </w:pPr>
      <w:r>
        <w:rPr>
          <w:noProof/>
        </w:rPr>
        <w:lastRenderedPageBreak/>
        <w:drawing>
          <wp:inline distT="0" distB="0" distL="0" distR="0" wp14:anchorId="66316BE7" wp14:editId="11055A95">
            <wp:extent cx="4572000" cy="2743200"/>
            <wp:effectExtent l="0" t="0" r="0" b="0"/>
            <wp:docPr id="8" name="Chart 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30E41E26-AC1C-4AB0-B3BD-7A07A96AD3A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C3CB4" w:rsidRDefault="00A44BFC" w:rsidP="00A057F4">
      <w:pPr>
        <w:spacing w:line="360" w:lineRule="auto"/>
        <w:jc w:val="both"/>
        <w:rPr>
          <w:i/>
          <w:lang w:val="fr-FR"/>
        </w:rPr>
      </w:pPr>
      <w:r w:rsidRPr="001F4B57">
        <w:rPr>
          <w:i/>
          <w:lang w:val="fr-FR"/>
        </w:rPr>
        <w:t>Source : Enquête Location de maiso</w:t>
      </w:r>
      <w:r>
        <w:rPr>
          <w:i/>
          <w:lang w:val="fr-FR"/>
        </w:rPr>
        <w:t>ns, Port-Salut, 22 au 25 Ao</w:t>
      </w:r>
      <w:r>
        <w:rPr>
          <w:rFonts w:ascii="Leelawadee" w:hAnsi="Leelawadee" w:cs="Leelawadee"/>
          <w:i/>
          <w:lang w:val="fr-FR"/>
        </w:rPr>
        <w:t>û</w:t>
      </w:r>
      <w:r>
        <w:rPr>
          <w:i/>
          <w:lang w:val="fr-FR"/>
        </w:rPr>
        <w:t>t</w:t>
      </w:r>
      <w:r w:rsidRPr="001F4B57">
        <w:rPr>
          <w:i/>
          <w:lang w:val="fr-FR"/>
        </w:rPr>
        <w:t xml:space="preserve"> 2017.</w:t>
      </w:r>
    </w:p>
    <w:p w:rsidR="00A44BFC" w:rsidRDefault="00A44BFC" w:rsidP="00A057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C3CB4" w:rsidRPr="00EF75A4" w:rsidRDefault="004C3CB4" w:rsidP="00EF75A4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F75A4">
        <w:rPr>
          <w:rFonts w:ascii="Times New Roman" w:hAnsi="Times New Roman" w:cs="Times New Roman"/>
          <w:b/>
          <w:sz w:val="24"/>
          <w:szCs w:val="24"/>
          <w:lang w:val="fr-FR"/>
        </w:rPr>
        <w:t>III-Conclusion</w:t>
      </w:r>
    </w:p>
    <w:p w:rsidR="00A057F4" w:rsidRPr="00EF75A4" w:rsidRDefault="009803ED" w:rsidP="00EF75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D’une façon générale</w:t>
      </w:r>
      <w:r w:rsidR="00FA4DB5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, la 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>présente</w:t>
      </w:r>
      <w:r w:rsidR="00FA4DB5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>enquête</w:t>
      </w:r>
      <w:r w:rsidR="00FA4DB5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D195D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="00FA4DB5" w:rsidRPr="00EF75A4">
        <w:rPr>
          <w:rFonts w:ascii="Times New Roman" w:hAnsi="Times New Roman" w:cs="Times New Roman"/>
          <w:sz w:val="24"/>
          <w:szCs w:val="24"/>
          <w:lang w:val="fr-FR"/>
        </w:rPr>
        <w:t>ressort</w:t>
      </w:r>
      <w:r w:rsidR="00ED195D">
        <w:rPr>
          <w:rFonts w:ascii="Times New Roman" w:hAnsi="Times New Roman" w:cs="Times New Roman"/>
          <w:sz w:val="24"/>
          <w:szCs w:val="24"/>
          <w:lang w:val="fr-FR"/>
        </w:rPr>
        <w:t>i</w:t>
      </w:r>
      <w:r w:rsidR="00FA4DB5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des 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>résultats</w:t>
      </w:r>
      <w:r w:rsidR="00FA4DB5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satisfaisants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par rapport à ses objectifs. Les données collectées certifient qu</w:t>
      </w:r>
      <w:r w:rsidR="00ED195D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>i</w:t>
      </w:r>
      <w:r w:rsidR="00ED195D">
        <w:rPr>
          <w:rFonts w:ascii="Times New Roman" w:hAnsi="Times New Roman" w:cs="Times New Roman"/>
          <w:sz w:val="24"/>
          <w:szCs w:val="24"/>
          <w:lang w:val="fr-FR"/>
        </w:rPr>
        <w:t>l y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a exactement des propriétaires de maisons qui comptent louer l</w:t>
      </w:r>
      <w:r w:rsidR="00107ACD">
        <w:rPr>
          <w:rFonts w:ascii="Times New Roman" w:hAnsi="Times New Roman" w:cs="Times New Roman"/>
          <w:sz w:val="24"/>
          <w:szCs w:val="24"/>
          <w:lang w:val="fr-FR"/>
        </w:rPr>
        <w:t>eurs mais</w:t>
      </w:r>
      <w:r w:rsidR="00F04857">
        <w:rPr>
          <w:rFonts w:ascii="Times New Roman" w:hAnsi="Times New Roman" w:cs="Times New Roman"/>
          <w:sz w:val="24"/>
          <w:szCs w:val="24"/>
          <w:lang w:val="fr-FR"/>
        </w:rPr>
        <w:t>ons à des particuliers et le co</w:t>
      </w:r>
      <w:r w:rsidR="00F04857">
        <w:rPr>
          <w:rFonts w:ascii="Leelawadee" w:hAnsi="Leelawadee" w:cs="Leelawadee"/>
          <w:sz w:val="24"/>
          <w:szCs w:val="24"/>
          <w:lang w:val="fr-FR"/>
        </w:rPr>
        <w:t>û</w:t>
      </w:r>
      <w:r w:rsidR="00107ACD">
        <w:rPr>
          <w:rFonts w:ascii="Times New Roman" w:hAnsi="Times New Roman" w:cs="Times New Roman"/>
          <w:sz w:val="24"/>
          <w:szCs w:val="24"/>
          <w:lang w:val="fr-FR"/>
        </w:rPr>
        <w:t>t de maison varie entr</w:t>
      </w:r>
      <w:r w:rsidR="00E565B7">
        <w:rPr>
          <w:rFonts w:ascii="Times New Roman" w:hAnsi="Times New Roman" w:cs="Times New Roman"/>
          <w:sz w:val="24"/>
          <w:szCs w:val="24"/>
          <w:lang w:val="fr-FR"/>
        </w:rPr>
        <w:t>e 15000 à 20000 gourdes, soit 37</w:t>
      </w:r>
      <w:r w:rsidR="00107ACD">
        <w:rPr>
          <w:rFonts w:ascii="Times New Roman" w:hAnsi="Times New Roman" w:cs="Times New Roman"/>
          <w:sz w:val="24"/>
          <w:szCs w:val="24"/>
          <w:lang w:val="fr-FR"/>
        </w:rPr>
        <w:t>.42% des maisons identifiées.</w:t>
      </w:r>
      <w:r w:rsidR="00365464">
        <w:rPr>
          <w:rFonts w:ascii="Times New Roman" w:hAnsi="Times New Roman" w:cs="Times New Roman"/>
          <w:sz w:val="24"/>
          <w:szCs w:val="24"/>
          <w:lang w:val="fr-FR"/>
        </w:rPr>
        <w:t xml:space="preserve"> Elles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 nous montren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 xml:space="preserve">t que la majorité des maisons </w:t>
      </w:r>
      <w:r w:rsidR="00EF75A4" w:rsidRPr="00EF75A4">
        <w:rPr>
          <w:rFonts w:ascii="Times New Roman" w:hAnsi="Times New Roman" w:cs="Times New Roman"/>
          <w:sz w:val="24"/>
          <w:szCs w:val="24"/>
          <w:lang w:val="fr-FR"/>
        </w:rPr>
        <w:t xml:space="preserve">ont 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>des latrines et cuisine, mais l’absence des autres services en termes d’accessoires à savoir : Eau</w:t>
      </w:r>
      <w:r w:rsidR="00107ACD">
        <w:rPr>
          <w:rFonts w:ascii="Times New Roman" w:hAnsi="Times New Roman" w:cs="Times New Roman"/>
          <w:sz w:val="24"/>
          <w:szCs w:val="24"/>
          <w:lang w:val="fr-FR"/>
        </w:rPr>
        <w:t xml:space="preserve"> de service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>, Eau potable, électricité et toilette WC ne sont pas</w:t>
      </w:r>
      <w:r w:rsidR="00107ACD">
        <w:rPr>
          <w:rFonts w:ascii="Times New Roman" w:hAnsi="Times New Roman" w:cs="Times New Roman"/>
          <w:sz w:val="24"/>
          <w:szCs w:val="24"/>
          <w:lang w:val="fr-FR"/>
        </w:rPr>
        <w:t xml:space="preserve"> vraiment</w:t>
      </w:r>
      <w:r w:rsidR="008A3B05">
        <w:rPr>
          <w:rFonts w:ascii="Times New Roman" w:hAnsi="Times New Roman" w:cs="Times New Roman"/>
          <w:sz w:val="24"/>
          <w:szCs w:val="24"/>
          <w:lang w:val="fr-FR"/>
        </w:rPr>
        <w:t xml:space="preserve"> disponibles dans toutes les maisons identifiées. </w:t>
      </w:r>
    </w:p>
    <w:p w:rsidR="00A057F4" w:rsidRDefault="00A057F4" w:rsidP="0044209B">
      <w:pPr>
        <w:spacing w:line="360" w:lineRule="auto"/>
        <w:jc w:val="both"/>
        <w:rPr>
          <w:rFonts w:ascii="Times New Roman" w:hAnsi="Times New Roman"/>
          <w:caps/>
          <w:sz w:val="24"/>
          <w:szCs w:val="24"/>
          <w:lang w:val="fr-FR"/>
        </w:rPr>
      </w:pPr>
    </w:p>
    <w:p w:rsidR="00A223B7" w:rsidRDefault="00A223B7" w:rsidP="0044209B">
      <w:pPr>
        <w:spacing w:line="360" w:lineRule="auto"/>
        <w:jc w:val="both"/>
        <w:rPr>
          <w:rFonts w:ascii="Times New Roman" w:hAnsi="Times New Roman"/>
          <w:caps/>
          <w:sz w:val="24"/>
          <w:szCs w:val="24"/>
          <w:lang w:val="fr-FR"/>
        </w:rPr>
      </w:pPr>
    </w:p>
    <w:p w:rsidR="00A223B7" w:rsidRDefault="00A223B7" w:rsidP="0044209B">
      <w:pPr>
        <w:spacing w:line="360" w:lineRule="auto"/>
        <w:jc w:val="both"/>
        <w:rPr>
          <w:rFonts w:ascii="Times New Roman" w:hAnsi="Times New Roman"/>
          <w:caps/>
          <w:sz w:val="24"/>
          <w:szCs w:val="24"/>
          <w:lang w:val="fr-FR"/>
        </w:rPr>
      </w:pPr>
    </w:p>
    <w:p w:rsidR="00A223B7" w:rsidRPr="00A223B7" w:rsidRDefault="00A223B7" w:rsidP="0044209B">
      <w:pPr>
        <w:spacing w:line="360" w:lineRule="auto"/>
        <w:jc w:val="both"/>
        <w:rPr>
          <w:rFonts w:ascii="Times New Roman" w:hAnsi="Times New Roman"/>
          <w:b/>
          <w:caps/>
          <w:sz w:val="24"/>
          <w:szCs w:val="24"/>
          <w:lang w:val="fr-FR"/>
        </w:rPr>
      </w:pPr>
      <w:r w:rsidRPr="00A223B7">
        <w:rPr>
          <w:rFonts w:ascii="Times New Roman" w:hAnsi="Times New Roman"/>
          <w:b/>
          <w:caps/>
          <w:sz w:val="24"/>
          <w:szCs w:val="24"/>
          <w:lang w:val="fr-FR"/>
        </w:rPr>
        <w:t>IV-Annexe</w:t>
      </w:r>
    </w:p>
    <w:p w:rsidR="00A223B7" w:rsidRDefault="00A223B7" w:rsidP="0044209B">
      <w:pPr>
        <w:spacing w:line="360" w:lineRule="auto"/>
        <w:jc w:val="both"/>
        <w:rPr>
          <w:rFonts w:ascii="Times New Roman" w:hAnsi="Times New Roman"/>
          <w:caps/>
          <w:sz w:val="24"/>
          <w:szCs w:val="24"/>
          <w:lang w:val="fr-FR"/>
        </w:rPr>
      </w:pPr>
    </w:p>
    <w:p w:rsidR="00A223B7" w:rsidRDefault="00A223B7" w:rsidP="00A223B7">
      <w:pPr>
        <w:rPr>
          <w:b/>
        </w:rPr>
      </w:pPr>
      <w:r>
        <w:rPr>
          <w:b/>
        </w:rPr>
        <w:lastRenderedPageBreak/>
        <w:tab/>
      </w:r>
      <w:r>
        <w:rPr>
          <w:noProof/>
        </w:rPr>
        <w:drawing>
          <wp:inline distT="0" distB="0" distL="0" distR="0" wp14:anchorId="344FEFC8" wp14:editId="79AE9DB3">
            <wp:extent cx="762000" cy="656126"/>
            <wp:effectExtent l="0" t="0" r="0" b="0"/>
            <wp:docPr id="5" name="Picture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C891A729-04DC-45B4-A113-9FF3F50471A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C891A729-04DC-45B4-A113-9FF3F50471A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609" cy="660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noProof/>
        </w:rPr>
        <w:drawing>
          <wp:inline distT="0" distB="0" distL="0" distR="0" wp14:anchorId="3AE4D842" wp14:editId="78493C1B">
            <wp:extent cx="888521" cy="626195"/>
            <wp:effectExtent l="0" t="0" r="6985" b="2540"/>
            <wp:docPr id="6" name="Picture 2" descr="cid:image001.png@01CFE3C7.FA7EE15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67A01F86-B71C-4B0C-88DC-977677323EF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cid:image001.png@01CFE3C7.FA7EE150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67A01F86-B71C-4B0C-88DC-977677323EF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324" cy="6295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223B7" w:rsidRDefault="00A223B7" w:rsidP="00A223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SALVAGE TO SHELTER</w:t>
      </w:r>
    </w:p>
    <w:p w:rsidR="00A223B7" w:rsidRPr="000B0028" w:rsidRDefault="00A223B7" w:rsidP="00A223B7">
      <w:pPr>
        <w:jc w:val="center"/>
        <w:rPr>
          <w:b/>
          <w:sz w:val="28"/>
          <w:szCs w:val="28"/>
        </w:rPr>
      </w:pPr>
      <w:proofErr w:type="spellStart"/>
      <w:r w:rsidRPr="000B0028">
        <w:rPr>
          <w:b/>
          <w:sz w:val="28"/>
          <w:szCs w:val="28"/>
        </w:rPr>
        <w:t>Fòmilè</w:t>
      </w:r>
      <w:proofErr w:type="spellEnd"/>
      <w:r w:rsidRPr="000B0028">
        <w:rPr>
          <w:b/>
          <w:sz w:val="28"/>
          <w:szCs w:val="28"/>
        </w:rPr>
        <w:t xml:space="preserve"> </w:t>
      </w:r>
      <w:proofErr w:type="spellStart"/>
      <w:r w:rsidRPr="000B0028">
        <w:rPr>
          <w:b/>
          <w:sz w:val="28"/>
          <w:szCs w:val="28"/>
        </w:rPr>
        <w:t>Ankèt</w:t>
      </w:r>
      <w:proofErr w:type="spellEnd"/>
      <w:r w:rsidRPr="000B0028">
        <w:rPr>
          <w:b/>
          <w:sz w:val="28"/>
          <w:szCs w:val="28"/>
        </w:rPr>
        <w:t xml:space="preserve"> </w:t>
      </w:r>
      <w:proofErr w:type="spellStart"/>
      <w:r w:rsidRPr="000B0028">
        <w:rPr>
          <w:b/>
          <w:sz w:val="28"/>
          <w:szCs w:val="28"/>
        </w:rPr>
        <w:t>sou</w:t>
      </w:r>
      <w:proofErr w:type="spellEnd"/>
      <w:r w:rsidRPr="000B0028">
        <w:rPr>
          <w:b/>
          <w:sz w:val="28"/>
          <w:szCs w:val="28"/>
        </w:rPr>
        <w:t xml:space="preserve"> </w:t>
      </w:r>
      <w:proofErr w:type="spellStart"/>
      <w:r w:rsidRPr="000B0028">
        <w:rPr>
          <w:b/>
          <w:sz w:val="28"/>
          <w:szCs w:val="28"/>
        </w:rPr>
        <w:t>mache</w:t>
      </w:r>
      <w:proofErr w:type="spellEnd"/>
      <w:r w:rsidRPr="000B0028">
        <w:rPr>
          <w:b/>
          <w:sz w:val="28"/>
          <w:szCs w:val="28"/>
        </w:rPr>
        <w:t xml:space="preserve"> </w:t>
      </w:r>
      <w:proofErr w:type="spellStart"/>
      <w:r w:rsidRPr="000B0028">
        <w:rPr>
          <w:b/>
          <w:sz w:val="28"/>
          <w:szCs w:val="28"/>
        </w:rPr>
        <w:t>lokasyon</w:t>
      </w:r>
      <w:proofErr w:type="spellEnd"/>
    </w:p>
    <w:p w:rsidR="00A223B7" w:rsidRDefault="00A223B7" w:rsidP="00A223B7"/>
    <w:p w:rsidR="00A223B7" w:rsidRDefault="00A223B7" w:rsidP="00A223B7">
      <w:r>
        <w:t xml:space="preserve">NIMEWO KESYONÈ: ________________ </w:t>
      </w:r>
    </w:p>
    <w:p w:rsidR="00A223B7" w:rsidRDefault="00A223B7" w:rsidP="00A223B7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A223B7" w:rsidTr="00D25EDF">
        <w:tc>
          <w:tcPr>
            <w:tcW w:w="1558" w:type="dxa"/>
            <w:shd w:val="clear" w:color="auto" w:fill="ACB9CA" w:themeFill="text2" w:themeFillTint="66"/>
          </w:tcPr>
          <w:p w:rsidR="00A223B7" w:rsidRDefault="00A223B7" w:rsidP="00D25EDF">
            <w:proofErr w:type="spellStart"/>
            <w:r>
              <w:t>Dat</w:t>
            </w:r>
            <w:proofErr w:type="spellEnd"/>
          </w:p>
        </w:tc>
        <w:tc>
          <w:tcPr>
            <w:tcW w:w="1558" w:type="dxa"/>
          </w:tcPr>
          <w:p w:rsidR="00A223B7" w:rsidRDefault="00A223B7" w:rsidP="00D25EDF"/>
        </w:tc>
        <w:tc>
          <w:tcPr>
            <w:tcW w:w="1558" w:type="dxa"/>
            <w:shd w:val="clear" w:color="auto" w:fill="ACB9CA" w:themeFill="text2" w:themeFillTint="66"/>
          </w:tcPr>
          <w:p w:rsidR="00A223B7" w:rsidRDefault="00A223B7" w:rsidP="00D25EDF">
            <w:proofErr w:type="spellStart"/>
            <w:r>
              <w:t>Anketè</w:t>
            </w:r>
            <w:proofErr w:type="spellEnd"/>
          </w:p>
        </w:tc>
        <w:tc>
          <w:tcPr>
            <w:tcW w:w="1558" w:type="dxa"/>
          </w:tcPr>
          <w:p w:rsidR="00A223B7" w:rsidRDefault="00A223B7" w:rsidP="00D25EDF"/>
        </w:tc>
        <w:tc>
          <w:tcPr>
            <w:tcW w:w="1559" w:type="dxa"/>
            <w:shd w:val="clear" w:color="auto" w:fill="ACB9CA" w:themeFill="text2" w:themeFillTint="66"/>
          </w:tcPr>
          <w:p w:rsidR="00A223B7" w:rsidRDefault="00A223B7" w:rsidP="00D25EDF">
            <w:proofErr w:type="spellStart"/>
            <w:r>
              <w:t>Responsab</w:t>
            </w:r>
            <w:proofErr w:type="spellEnd"/>
            <w:r>
              <w:t xml:space="preserve"> </w:t>
            </w:r>
            <w:proofErr w:type="spellStart"/>
            <w:r>
              <w:t>Ekip</w:t>
            </w:r>
            <w:proofErr w:type="spellEnd"/>
          </w:p>
        </w:tc>
        <w:tc>
          <w:tcPr>
            <w:tcW w:w="1559" w:type="dxa"/>
          </w:tcPr>
          <w:p w:rsidR="00A223B7" w:rsidRDefault="00A223B7" w:rsidP="00D25EDF"/>
        </w:tc>
      </w:tr>
      <w:tr w:rsidR="00A223B7" w:rsidTr="00D25EDF">
        <w:tc>
          <w:tcPr>
            <w:tcW w:w="1558" w:type="dxa"/>
            <w:shd w:val="clear" w:color="auto" w:fill="ACB9CA" w:themeFill="text2" w:themeFillTint="66"/>
          </w:tcPr>
          <w:p w:rsidR="00A223B7" w:rsidRDefault="00A223B7" w:rsidP="00D25EDF">
            <w:proofErr w:type="spellStart"/>
            <w:r>
              <w:t>Depatman</w:t>
            </w:r>
            <w:proofErr w:type="spellEnd"/>
          </w:p>
        </w:tc>
        <w:tc>
          <w:tcPr>
            <w:tcW w:w="1558" w:type="dxa"/>
            <w:shd w:val="clear" w:color="auto" w:fill="ACB9CA" w:themeFill="text2" w:themeFillTint="66"/>
          </w:tcPr>
          <w:p w:rsidR="00A223B7" w:rsidRDefault="00A223B7" w:rsidP="00D25EDF">
            <w:proofErr w:type="spellStart"/>
            <w:r>
              <w:t>Komin</w:t>
            </w:r>
            <w:proofErr w:type="spellEnd"/>
          </w:p>
        </w:tc>
        <w:tc>
          <w:tcPr>
            <w:tcW w:w="3116" w:type="dxa"/>
            <w:gridSpan w:val="2"/>
            <w:shd w:val="clear" w:color="auto" w:fill="ACB9CA" w:themeFill="text2" w:themeFillTint="66"/>
          </w:tcPr>
          <w:p w:rsidR="00A223B7" w:rsidRDefault="00A223B7" w:rsidP="00D25EDF">
            <w:proofErr w:type="spellStart"/>
            <w:r>
              <w:t>Seksyon</w:t>
            </w:r>
            <w:proofErr w:type="spellEnd"/>
            <w:r>
              <w:t xml:space="preserve"> </w:t>
            </w:r>
            <w:proofErr w:type="spellStart"/>
            <w:r>
              <w:t>Kominal</w:t>
            </w:r>
            <w:proofErr w:type="spellEnd"/>
          </w:p>
        </w:tc>
        <w:tc>
          <w:tcPr>
            <w:tcW w:w="3118" w:type="dxa"/>
            <w:gridSpan w:val="2"/>
            <w:shd w:val="clear" w:color="auto" w:fill="ACB9CA" w:themeFill="text2" w:themeFillTint="66"/>
          </w:tcPr>
          <w:p w:rsidR="00A223B7" w:rsidRDefault="00A223B7" w:rsidP="00D25EDF">
            <w:r>
              <w:t xml:space="preserve">Non </w:t>
            </w:r>
            <w:proofErr w:type="spellStart"/>
            <w:r>
              <w:t>Katye</w:t>
            </w:r>
            <w:proofErr w:type="spellEnd"/>
            <w:r>
              <w:t>/</w:t>
            </w:r>
            <w:proofErr w:type="spellStart"/>
            <w:r>
              <w:t>Lokalite</w:t>
            </w:r>
            <w:proofErr w:type="spellEnd"/>
            <w:r>
              <w:t xml:space="preserve">     </w:t>
            </w:r>
          </w:p>
        </w:tc>
      </w:tr>
      <w:tr w:rsidR="00A223B7" w:rsidTr="00D25EDF">
        <w:tc>
          <w:tcPr>
            <w:tcW w:w="1558" w:type="dxa"/>
          </w:tcPr>
          <w:p w:rsidR="00A223B7" w:rsidRDefault="00A223B7" w:rsidP="00D25EDF"/>
        </w:tc>
        <w:tc>
          <w:tcPr>
            <w:tcW w:w="1558" w:type="dxa"/>
          </w:tcPr>
          <w:p w:rsidR="00A223B7" w:rsidRDefault="00A223B7" w:rsidP="00D25EDF"/>
        </w:tc>
        <w:tc>
          <w:tcPr>
            <w:tcW w:w="1558" w:type="dxa"/>
          </w:tcPr>
          <w:p w:rsidR="00A223B7" w:rsidRDefault="00A223B7" w:rsidP="00D25EDF"/>
        </w:tc>
        <w:tc>
          <w:tcPr>
            <w:tcW w:w="1558" w:type="dxa"/>
          </w:tcPr>
          <w:p w:rsidR="00A223B7" w:rsidRDefault="00A223B7" w:rsidP="00D25EDF"/>
        </w:tc>
        <w:tc>
          <w:tcPr>
            <w:tcW w:w="1559" w:type="dxa"/>
          </w:tcPr>
          <w:p w:rsidR="00A223B7" w:rsidRDefault="00A223B7" w:rsidP="00D25EDF"/>
        </w:tc>
        <w:tc>
          <w:tcPr>
            <w:tcW w:w="1559" w:type="dxa"/>
          </w:tcPr>
          <w:p w:rsidR="00A223B7" w:rsidRDefault="00A223B7" w:rsidP="00D25EDF"/>
        </w:tc>
      </w:tr>
    </w:tbl>
    <w:p w:rsidR="00A223B7" w:rsidRDefault="00A223B7" w:rsidP="00A223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223B7" w:rsidRPr="0041124C" w:rsidTr="00D25EDF">
        <w:tc>
          <w:tcPr>
            <w:tcW w:w="9350" w:type="dxa"/>
          </w:tcPr>
          <w:p w:rsidR="00A223B7" w:rsidRPr="00963CA3" w:rsidRDefault="00A223B7" w:rsidP="00D25ED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Adrès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Ekri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adrès</w:t>
            </w:r>
            <w:proofErr w:type="spellEnd"/>
            <w:r>
              <w:rPr>
                <w:lang w:val="fr-FR"/>
              </w:rPr>
              <w:t xml:space="preserve"> la </w:t>
            </w:r>
            <w:proofErr w:type="spellStart"/>
            <w:r>
              <w:rPr>
                <w:lang w:val="fr-FR"/>
              </w:rPr>
              <w:t>avèk</w:t>
            </w:r>
            <w:proofErr w:type="spellEnd"/>
            <w:r>
              <w:rPr>
                <w:lang w:val="fr-FR"/>
              </w:rPr>
              <w:t xml:space="preserve"> </w:t>
            </w:r>
            <w:r w:rsidRPr="00963CA3">
              <w:rPr>
                <w:lang w:val="fr-FR"/>
              </w:rPr>
              <w:t xml:space="preserve">plis </w:t>
            </w:r>
            <w:proofErr w:type="spellStart"/>
            <w:r w:rsidRPr="00963CA3">
              <w:rPr>
                <w:lang w:val="fr-FR"/>
              </w:rPr>
              <w:t>detay</w:t>
            </w:r>
            <w:proofErr w:type="spellEnd"/>
            <w:r w:rsidRPr="00963CA3">
              <w:rPr>
                <w:lang w:val="fr-FR"/>
              </w:rPr>
              <w:t>):</w:t>
            </w:r>
          </w:p>
        </w:tc>
      </w:tr>
    </w:tbl>
    <w:p w:rsidR="00A223B7" w:rsidRPr="00963CA3" w:rsidRDefault="00A223B7" w:rsidP="00A223B7">
      <w:pPr>
        <w:rPr>
          <w:lang w:val="fr-FR"/>
        </w:rPr>
      </w:pP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I-</w:t>
      </w:r>
      <w:proofErr w:type="spellStart"/>
      <w:r>
        <w:rPr>
          <w:lang w:val="fr-FR"/>
        </w:rPr>
        <w:t>Eske</w:t>
      </w:r>
      <w:proofErr w:type="spellEnd"/>
      <w:r>
        <w:rPr>
          <w:lang w:val="fr-FR"/>
        </w:rPr>
        <w:t xml:space="preserve"> ou se </w:t>
      </w:r>
      <w:proofErr w:type="spellStart"/>
      <w:r>
        <w:rPr>
          <w:lang w:val="fr-FR"/>
        </w:rPr>
        <w:t>pwopyetè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oswa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lokatè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kay</w:t>
      </w:r>
      <w:proofErr w:type="spellEnd"/>
      <w:r>
        <w:rPr>
          <w:lang w:val="fr-FR"/>
        </w:rPr>
        <w:t xml:space="preserve"> la</w:t>
      </w:r>
      <w:r w:rsidRPr="00011283">
        <w:rPr>
          <w:lang w:val="fr-FR"/>
        </w:rPr>
        <w:t xml:space="preserve"> ? </w:t>
      </w:r>
    </w:p>
    <w:p w:rsidR="00A223B7" w:rsidRDefault="00A223B7" w:rsidP="00A223B7">
      <w:pPr>
        <w:rPr>
          <w:lang w:val="fr-FR"/>
        </w:rPr>
      </w:pPr>
      <w:r>
        <w:rPr>
          <w:lang w:val="fr-FR"/>
        </w:rPr>
        <w:t xml:space="preserve">1. </w:t>
      </w:r>
      <w:proofErr w:type="spellStart"/>
      <w:r>
        <w:rPr>
          <w:lang w:val="fr-FR"/>
        </w:rPr>
        <w:t>Pwopryetè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  <w:t xml:space="preserve">2. </w:t>
      </w:r>
      <w:proofErr w:type="spellStart"/>
      <w:r>
        <w:rPr>
          <w:lang w:val="fr-FR"/>
        </w:rPr>
        <w:t>Lokatè</w:t>
      </w:r>
      <w:proofErr w:type="spellEnd"/>
      <w:r w:rsidRPr="00011283">
        <w:rPr>
          <w:lang w:val="fr-FR"/>
        </w:rPr>
        <w:t xml:space="preserve"> ⃝ </w:t>
      </w:r>
    </w:p>
    <w:p w:rsidR="00A223B7" w:rsidRDefault="00A223B7" w:rsidP="00A223B7">
      <w:pPr>
        <w:rPr>
          <w:lang w:val="fr-FR"/>
        </w:rPr>
      </w:pPr>
    </w:p>
    <w:p w:rsidR="00A223B7" w:rsidRPr="00A10FF2" w:rsidRDefault="00A223B7" w:rsidP="00A223B7">
      <w:pPr>
        <w:rPr>
          <w:lang w:val="fr-FR"/>
        </w:rPr>
      </w:pPr>
      <w:r w:rsidRPr="00A10FF2">
        <w:rPr>
          <w:lang w:val="fr-FR"/>
        </w:rPr>
        <w:t>II-</w:t>
      </w:r>
      <w:proofErr w:type="spellStart"/>
      <w:r w:rsidRPr="00A10FF2">
        <w:rPr>
          <w:lang w:val="fr-FR"/>
        </w:rPr>
        <w:t>Konbyen</w:t>
      </w:r>
      <w:proofErr w:type="spellEnd"/>
      <w:r w:rsidRPr="00A10FF2">
        <w:rPr>
          <w:lang w:val="fr-FR"/>
        </w:rPr>
        <w:t xml:space="preserve"> </w:t>
      </w:r>
      <w:proofErr w:type="spellStart"/>
      <w:r w:rsidRPr="00A10FF2">
        <w:rPr>
          <w:lang w:val="fr-FR"/>
        </w:rPr>
        <w:t>kòb</w:t>
      </w:r>
      <w:proofErr w:type="spellEnd"/>
      <w:r w:rsidRPr="00A10FF2">
        <w:rPr>
          <w:lang w:val="fr-FR"/>
        </w:rPr>
        <w:t xml:space="preserve"> </w:t>
      </w:r>
      <w:proofErr w:type="spellStart"/>
      <w:r w:rsidRPr="00A10FF2">
        <w:rPr>
          <w:lang w:val="fr-FR"/>
        </w:rPr>
        <w:t>lwaye</w:t>
      </w:r>
      <w:proofErr w:type="spellEnd"/>
      <w:r w:rsidRPr="00A10FF2">
        <w:rPr>
          <w:lang w:val="fr-FR"/>
        </w:rPr>
        <w:t xml:space="preserve"> a </w:t>
      </w:r>
      <w:proofErr w:type="spellStart"/>
      <w:r w:rsidRPr="00A10FF2">
        <w:rPr>
          <w:lang w:val="fr-FR"/>
        </w:rPr>
        <w:t>ye</w:t>
      </w:r>
      <w:proofErr w:type="spellEnd"/>
      <w:r w:rsidRPr="00A10FF2">
        <w:rPr>
          <w:lang w:val="fr-FR"/>
        </w:rPr>
        <w:t> (</w:t>
      </w:r>
      <w:proofErr w:type="spellStart"/>
      <w:r>
        <w:rPr>
          <w:lang w:val="fr-FR"/>
        </w:rPr>
        <w:t>pa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</w:t>
      </w:r>
      <w:proofErr w:type="spellEnd"/>
      <w:r>
        <w:rPr>
          <w:lang w:val="fr-FR"/>
        </w:rPr>
        <w:t xml:space="preserve"> / </w:t>
      </w:r>
      <w:proofErr w:type="spellStart"/>
      <w:r w:rsidRPr="00A10FF2">
        <w:rPr>
          <w:lang w:val="fr-FR"/>
        </w:rPr>
        <w:t>kòb</w:t>
      </w:r>
      <w:proofErr w:type="spellEnd"/>
      <w:r w:rsidRPr="00A10FF2">
        <w:rPr>
          <w:lang w:val="fr-FR"/>
        </w:rPr>
        <w:t xml:space="preserve"> en </w:t>
      </w:r>
      <w:proofErr w:type="spellStart"/>
      <w:r w:rsidRPr="00A10FF2">
        <w:rPr>
          <w:lang w:val="fr-FR"/>
        </w:rPr>
        <w:t>goud</w:t>
      </w:r>
      <w:proofErr w:type="spellEnd"/>
      <w:r w:rsidRPr="00A10FF2">
        <w:rPr>
          <w:lang w:val="fr-FR"/>
        </w:rPr>
        <w:t>)?</w:t>
      </w:r>
    </w:p>
    <w:p w:rsidR="00A223B7" w:rsidRPr="00A10FF2" w:rsidRDefault="00A223B7" w:rsidP="00A223B7">
      <w:pPr>
        <w:rPr>
          <w:lang w:val="fr-FR"/>
        </w:rPr>
      </w:pPr>
      <w:r w:rsidRPr="00A10FF2">
        <w:rPr>
          <w:lang w:val="fr-FR"/>
        </w:rPr>
        <w:t>……………………………….</w:t>
      </w: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III-</w:t>
      </w:r>
      <w:proofErr w:type="spellStart"/>
      <w:r>
        <w:rPr>
          <w:lang w:val="fr-FR"/>
        </w:rPr>
        <w:t>Konbyen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pyès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kay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genyen</w:t>
      </w:r>
      <w:proofErr w:type="spellEnd"/>
      <w:r w:rsidRPr="00011283">
        <w:rPr>
          <w:lang w:val="fr-FR"/>
        </w:rPr>
        <w:t xml:space="preserve">? </w:t>
      </w:r>
    </w:p>
    <w:p w:rsidR="00A223B7" w:rsidRDefault="00A223B7" w:rsidP="00A223B7">
      <w:pPr>
        <w:rPr>
          <w:lang w:val="fr-FR"/>
        </w:rPr>
      </w:pPr>
      <w:r>
        <w:rPr>
          <w:lang w:val="fr-FR"/>
        </w:rPr>
        <w:t xml:space="preserve">1. 1 </w:t>
      </w:r>
      <w:proofErr w:type="spellStart"/>
      <w:r>
        <w:rPr>
          <w:lang w:val="fr-FR"/>
        </w:rPr>
        <w:t>pyès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  <w:t xml:space="preserve">2. 2 </w:t>
      </w:r>
      <w:proofErr w:type="spellStart"/>
      <w:r>
        <w:rPr>
          <w:lang w:val="fr-FR"/>
        </w:rPr>
        <w:t>pyès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 xml:space="preserve">    3. 3 </w:t>
      </w:r>
      <w:proofErr w:type="spellStart"/>
      <w:r>
        <w:rPr>
          <w:lang w:val="fr-FR"/>
        </w:rPr>
        <w:t>pyès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 xml:space="preserve">               4. 4 </w:t>
      </w:r>
      <w:proofErr w:type="spellStart"/>
      <w:r>
        <w:rPr>
          <w:lang w:val="fr-FR"/>
        </w:rPr>
        <w:t>pyès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 xml:space="preserve">                       5. Plis </w:t>
      </w:r>
      <w:proofErr w:type="spellStart"/>
      <w:r>
        <w:rPr>
          <w:lang w:val="fr-FR"/>
        </w:rPr>
        <w:t>pase</w:t>
      </w:r>
      <w:proofErr w:type="spellEnd"/>
      <w:r>
        <w:rPr>
          <w:lang w:val="fr-FR"/>
        </w:rPr>
        <w:t xml:space="preserve"> 4 </w:t>
      </w:r>
      <w:proofErr w:type="spellStart"/>
      <w:r>
        <w:rPr>
          <w:lang w:val="fr-FR"/>
        </w:rPr>
        <w:t>pyès</w:t>
      </w:r>
      <w:proofErr w:type="spellEnd"/>
      <w:r w:rsidRPr="00011283">
        <w:rPr>
          <w:lang w:val="fr-FR"/>
        </w:rPr>
        <w:t xml:space="preserve"> ⃝ </w:t>
      </w:r>
    </w:p>
    <w:p w:rsidR="00A223B7" w:rsidRDefault="00A223B7" w:rsidP="00A223B7">
      <w:pPr>
        <w:rPr>
          <w:lang w:val="fr-FR"/>
        </w:rPr>
      </w:pPr>
    </w:p>
    <w:p w:rsidR="00A223B7" w:rsidRDefault="00A223B7" w:rsidP="00A223B7">
      <w:r w:rsidRPr="00C055BE">
        <w:t>IV-</w:t>
      </w:r>
      <w:proofErr w:type="spellStart"/>
      <w:r w:rsidRPr="00C055BE">
        <w:t>Kijan</w:t>
      </w:r>
      <w:proofErr w:type="spellEnd"/>
      <w:r w:rsidRPr="00C055BE">
        <w:t xml:space="preserve"> </w:t>
      </w:r>
      <w:proofErr w:type="spellStart"/>
      <w:r w:rsidRPr="00C055BE">
        <w:t>wap</w:t>
      </w:r>
      <w:proofErr w:type="spellEnd"/>
      <w:r w:rsidRPr="00C055BE">
        <w:t xml:space="preserve"> </w:t>
      </w:r>
      <w:proofErr w:type="spellStart"/>
      <w:r w:rsidRPr="00C055BE">
        <w:t>lwe</w:t>
      </w:r>
      <w:proofErr w:type="spellEnd"/>
      <w:r w:rsidRPr="00C055BE">
        <w:t xml:space="preserve"> kay la ?</w:t>
      </w:r>
    </w:p>
    <w:p w:rsidR="00A223B7" w:rsidRDefault="00A223B7" w:rsidP="00A223B7">
      <w:r w:rsidRPr="00C055BE">
        <w:t xml:space="preserve">1. 1 </w:t>
      </w:r>
      <w:proofErr w:type="spellStart"/>
      <w:r w:rsidRPr="00C055BE">
        <w:t>pyès</w:t>
      </w:r>
      <w:proofErr w:type="spellEnd"/>
      <w:r w:rsidRPr="00C055BE">
        <w:t xml:space="preserve"> ⃝ </w:t>
      </w:r>
      <w:r w:rsidRPr="00C055BE">
        <w:tab/>
        <w:t xml:space="preserve">2. 2 </w:t>
      </w:r>
      <w:proofErr w:type="spellStart"/>
      <w:r w:rsidRPr="00C055BE">
        <w:t>pyès</w:t>
      </w:r>
      <w:proofErr w:type="spellEnd"/>
      <w:r w:rsidRPr="00C055BE">
        <w:t xml:space="preserve"> ⃝     3. 3 </w:t>
      </w:r>
      <w:proofErr w:type="spellStart"/>
      <w:r w:rsidRPr="00C055BE">
        <w:t>pyès</w:t>
      </w:r>
      <w:proofErr w:type="spellEnd"/>
      <w:r w:rsidRPr="00C055BE">
        <w:t xml:space="preserve"> ⃝                4. 4 </w:t>
      </w:r>
      <w:proofErr w:type="spellStart"/>
      <w:r w:rsidRPr="00C055BE">
        <w:t>pyès</w:t>
      </w:r>
      <w:proofErr w:type="spellEnd"/>
      <w:r w:rsidRPr="00C055BE">
        <w:t xml:space="preserve"> ⃝                        5. </w:t>
      </w:r>
      <w:r>
        <w:t>Tout kay la</w:t>
      </w:r>
      <w:r w:rsidRPr="00C055BE">
        <w:t xml:space="preserve"> ⃝ </w:t>
      </w:r>
    </w:p>
    <w:p w:rsidR="00A223B7" w:rsidRPr="00C055BE" w:rsidRDefault="00A223B7" w:rsidP="00A223B7"/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 xml:space="preserve">V-Ki </w:t>
      </w:r>
      <w:proofErr w:type="spellStart"/>
      <w:r w:rsidRPr="00A223B7">
        <w:rPr>
          <w:lang w:val="fr-FR"/>
        </w:rPr>
        <w:t>kote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kay</w:t>
      </w:r>
      <w:proofErr w:type="spellEnd"/>
      <w:r w:rsidRPr="00A223B7">
        <w:rPr>
          <w:lang w:val="fr-FR"/>
        </w:rPr>
        <w:t xml:space="preserve"> la </w:t>
      </w:r>
      <w:proofErr w:type="spellStart"/>
      <w:r w:rsidRPr="00A223B7">
        <w:rPr>
          <w:lang w:val="fr-FR"/>
        </w:rPr>
        <w:t>ye</w:t>
      </w:r>
      <w:proofErr w:type="spellEnd"/>
      <w:r w:rsidRPr="00A223B7">
        <w:rPr>
          <w:lang w:val="fr-FR"/>
        </w:rPr>
        <w:t xml:space="preserve">? </w:t>
      </w:r>
    </w:p>
    <w:p w:rsidR="00A223B7" w:rsidRPr="006561E3" w:rsidRDefault="00A223B7" w:rsidP="00A223B7">
      <w:r w:rsidRPr="00A223B7">
        <w:rPr>
          <w:lang w:val="fr-FR"/>
        </w:rPr>
        <w:t xml:space="preserve">1. </w:t>
      </w:r>
      <w:proofErr w:type="spellStart"/>
      <w:r w:rsidRPr="00A223B7">
        <w:rPr>
          <w:lang w:val="fr-FR"/>
        </w:rPr>
        <w:t>Bò</w:t>
      </w:r>
      <w:proofErr w:type="spellEnd"/>
      <w:r w:rsidRPr="00A223B7">
        <w:rPr>
          <w:lang w:val="fr-FR"/>
        </w:rPr>
        <w:t xml:space="preserve"> lari ⃝</w:t>
      </w:r>
      <w:r w:rsidRPr="00A223B7">
        <w:rPr>
          <w:lang w:val="fr-FR"/>
        </w:rPr>
        <w:tab/>
        <w:t xml:space="preserve">1. </w:t>
      </w:r>
      <w:proofErr w:type="spellStart"/>
      <w:r>
        <w:t>Lavil</w:t>
      </w:r>
      <w:proofErr w:type="spellEnd"/>
      <w:r w:rsidRPr="006561E3">
        <w:t xml:space="preserve"> ⃝</w:t>
      </w:r>
      <w:r>
        <w:tab/>
      </w:r>
      <w:r w:rsidRPr="006561E3">
        <w:t xml:space="preserve"> 2. </w:t>
      </w:r>
      <w:proofErr w:type="spellStart"/>
      <w:r w:rsidRPr="006561E3">
        <w:t>Andeyò</w:t>
      </w:r>
      <w:proofErr w:type="spellEnd"/>
      <w:r w:rsidRPr="006561E3">
        <w:t xml:space="preserve"> </w:t>
      </w:r>
      <w:proofErr w:type="spellStart"/>
      <w:r w:rsidRPr="006561E3">
        <w:t>lavil</w:t>
      </w:r>
      <w:proofErr w:type="spellEnd"/>
      <w:r w:rsidRPr="006561E3">
        <w:t>/</w:t>
      </w:r>
      <w:proofErr w:type="spellStart"/>
      <w:r w:rsidRPr="006561E3">
        <w:t>kanpay</w:t>
      </w:r>
      <w:proofErr w:type="spellEnd"/>
      <w:r w:rsidRPr="006561E3">
        <w:t xml:space="preserve"> ⃝ </w:t>
      </w:r>
      <w:r w:rsidRPr="006561E3">
        <w:tab/>
        <w:t xml:space="preserve">3. </w:t>
      </w:r>
      <w:proofErr w:type="spellStart"/>
      <w:r w:rsidRPr="006561E3">
        <w:t>Zòn</w:t>
      </w:r>
      <w:proofErr w:type="spellEnd"/>
      <w:r w:rsidRPr="006561E3">
        <w:t xml:space="preserve"> </w:t>
      </w:r>
      <w:proofErr w:type="spellStart"/>
      <w:r w:rsidRPr="006561E3">
        <w:t>ki</w:t>
      </w:r>
      <w:proofErr w:type="spellEnd"/>
      <w:r w:rsidRPr="006561E3">
        <w:t xml:space="preserve"> an </w:t>
      </w:r>
      <w:proofErr w:type="spellStart"/>
      <w:r w:rsidRPr="006561E3">
        <w:t>pati</w:t>
      </w:r>
      <w:proofErr w:type="spellEnd"/>
      <w:r w:rsidRPr="006561E3">
        <w:t xml:space="preserve"> </w:t>
      </w:r>
      <w:proofErr w:type="spellStart"/>
      <w:r w:rsidRPr="006561E3">
        <w:t>lavil</w:t>
      </w:r>
      <w:proofErr w:type="spellEnd"/>
      <w:r w:rsidRPr="006561E3">
        <w:t xml:space="preserve">, an </w:t>
      </w:r>
      <w:proofErr w:type="spellStart"/>
      <w:r w:rsidRPr="006561E3">
        <w:t>pati</w:t>
      </w:r>
      <w:proofErr w:type="spellEnd"/>
      <w:r w:rsidRPr="006561E3">
        <w:t xml:space="preserve"> </w:t>
      </w:r>
      <w:proofErr w:type="spellStart"/>
      <w:r w:rsidRPr="006561E3">
        <w:t>kanpay</w:t>
      </w:r>
      <w:proofErr w:type="spellEnd"/>
      <w:r w:rsidRPr="006561E3">
        <w:t xml:space="preserve"> ⃝ </w:t>
      </w:r>
    </w:p>
    <w:p w:rsidR="00A223B7" w:rsidRPr="006561E3" w:rsidRDefault="00A223B7" w:rsidP="00A223B7"/>
    <w:p w:rsidR="00A223B7" w:rsidRPr="00A223B7" w:rsidRDefault="00A223B7" w:rsidP="00A223B7"/>
    <w:p w:rsidR="00A223B7" w:rsidRPr="00A223B7" w:rsidRDefault="00A223B7" w:rsidP="00A223B7"/>
    <w:p w:rsidR="00A223B7" w:rsidRPr="00A223B7" w:rsidRDefault="00A223B7" w:rsidP="00A223B7">
      <w:pPr>
        <w:rPr>
          <w:lang w:val="fr-FR"/>
        </w:rPr>
      </w:pPr>
      <w:proofErr w:type="spellStart"/>
      <w:r w:rsidRPr="003C35AA">
        <w:rPr>
          <w:lang w:val="fr-FR"/>
        </w:rPr>
        <w:t>VI-Ak</w:t>
      </w:r>
      <w:proofErr w:type="spellEnd"/>
      <w:r w:rsidRPr="003C35AA">
        <w:rPr>
          <w:lang w:val="fr-FR"/>
        </w:rPr>
        <w:t xml:space="preserve"> </w:t>
      </w:r>
      <w:proofErr w:type="spellStart"/>
      <w:r w:rsidRPr="003C35AA">
        <w:rPr>
          <w:lang w:val="fr-FR"/>
        </w:rPr>
        <w:t>ki</w:t>
      </w:r>
      <w:proofErr w:type="spellEnd"/>
      <w:r w:rsidRPr="003C35AA">
        <w:rPr>
          <w:lang w:val="fr-FR"/>
        </w:rPr>
        <w:t xml:space="preserve"> </w:t>
      </w:r>
      <w:proofErr w:type="spellStart"/>
      <w:r w:rsidRPr="003C35AA">
        <w:rPr>
          <w:lang w:val="fr-FR"/>
        </w:rPr>
        <w:t>materyèl</w:t>
      </w:r>
      <w:proofErr w:type="spellEnd"/>
      <w:r w:rsidRPr="003C35AA">
        <w:rPr>
          <w:lang w:val="fr-FR"/>
        </w:rPr>
        <w:t xml:space="preserve"> </w:t>
      </w:r>
      <w:proofErr w:type="spellStart"/>
      <w:r w:rsidRPr="003C35AA">
        <w:rPr>
          <w:lang w:val="fr-FR"/>
        </w:rPr>
        <w:t>kay</w:t>
      </w:r>
      <w:proofErr w:type="spellEnd"/>
      <w:r w:rsidRPr="003C35AA">
        <w:rPr>
          <w:lang w:val="fr-FR"/>
        </w:rPr>
        <w:t xml:space="preserve"> la </w:t>
      </w:r>
      <w:proofErr w:type="spellStart"/>
      <w:r w:rsidRPr="003C35AA">
        <w:rPr>
          <w:lang w:val="fr-FR"/>
        </w:rPr>
        <w:t>fèt</w:t>
      </w:r>
      <w:proofErr w:type="spellEnd"/>
      <w:r w:rsidRPr="003C35AA">
        <w:rPr>
          <w:lang w:val="fr-FR"/>
        </w:rPr>
        <w:t xml:space="preserve">? </w:t>
      </w:r>
      <w:r w:rsidRPr="00A223B7">
        <w:rPr>
          <w:lang w:val="fr-FR"/>
        </w:rPr>
        <w:t xml:space="preserve">(Ou </w:t>
      </w:r>
      <w:proofErr w:type="spellStart"/>
      <w:r w:rsidRPr="00A223B7">
        <w:rPr>
          <w:lang w:val="fr-FR"/>
        </w:rPr>
        <w:t>kapab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fè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plizyè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chwa</w:t>
      </w:r>
      <w:proofErr w:type="spellEnd"/>
      <w:r w:rsidRPr="00A223B7">
        <w:rPr>
          <w:lang w:val="fr-FR"/>
        </w:rPr>
        <w:t xml:space="preserve">) </w:t>
      </w:r>
    </w:p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 xml:space="preserve">1.  Kay </w:t>
      </w:r>
      <w:proofErr w:type="spellStart"/>
      <w:r w:rsidRPr="00A223B7">
        <w:rPr>
          <w:lang w:val="fr-FR"/>
        </w:rPr>
        <w:t>tòl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ki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fèt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ak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wòch</w:t>
      </w:r>
      <w:proofErr w:type="spellEnd"/>
      <w:r w:rsidRPr="00A223B7">
        <w:rPr>
          <w:lang w:val="fr-FR"/>
        </w:rPr>
        <w:t xml:space="preserve"> ⃝ </w:t>
      </w:r>
      <w:r w:rsidRPr="00A223B7">
        <w:rPr>
          <w:lang w:val="fr-FR"/>
        </w:rPr>
        <w:tab/>
      </w:r>
      <w:r w:rsidRPr="00A223B7">
        <w:rPr>
          <w:lang w:val="fr-FR"/>
        </w:rPr>
        <w:tab/>
      </w:r>
      <w:r w:rsidRPr="00A223B7">
        <w:rPr>
          <w:lang w:val="fr-FR"/>
        </w:rPr>
        <w:tab/>
        <w:t xml:space="preserve"> 2. Kay </w:t>
      </w:r>
      <w:proofErr w:type="spellStart"/>
      <w:r w:rsidRPr="00A223B7">
        <w:rPr>
          <w:lang w:val="fr-FR"/>
        </w:rPr>
        <w:t>tòl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ki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fèt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ak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blòk</w:t>
      </w:r>
      <w:proofErr w:type="spellEnd"/>
      <w:r w:rsidRPr="00A223B7">
        <w:rPr>
          <w:lang w:val="fr-FR"/>
        </w:rPr>
        <w:t xml:space="preserve"> ⃝</w:t>
      </w:r>
      <w:r w:rsidRPr="00A223B7">
        <w:rPr>
          <w:lang w:val="fr-FR"/>
        </w:rPr>
        <w:tab/>
      </w:r>
    </w:p>
    <w:p w:rsidR="00A223B7" w:rsidRPr="008D53FC" w:rsidRDefault="00A223B7" w:rsidP="00A223B7">
      <w:r w:rsidRPr="003C35AA">
        <w:t>3. K</w:t>
      </w:r>
      <w:r>
        <w:t xml:space="preserve">ay </w:t>
      </w:r>
      <w:proofErr w:type="spellStart"/>
      <w:r>
        <w:t>beton</w:t>
      </w:r>
      <w:proofErr w:type="spellEnd"/>
      <w:r w:rsidRPr="003C35AA">
        <w:t xml:space="preserve"> </w:t>
      </w:r>
      <w:r w:rsidRPr="008D53FC">
        <w:t xml:space="preserve">⃝ </w:t>
      </w:r>
      <w:r w:rsidRPr="008D53FC">
        <w:tab/>
      </w:r>
      <w:r w:rsidRPr="008D53FC">
        <w:tab/>
      </w:r>
      <w:r>
        <w:tab/>
      </w:r>
      <w:r>
        <w:tab/>
      </w:r>
      <w:r>
        <w:tab/>
      </w:r>
      <w:r w:rsidRPr="008D53FC">
        <w:t xml:space="preserve">4. </w:t>
      </w:r>
      <w:proofErr w:type="spellStart"/>
      <w:r w:rsidRPr="008D53FC">
        <w:t>Lòt</w:t>
      </w:r>
      <w:proofErr w:type="spellEnd"/>
      <w:r w:rsidRPr="008D53FC">
        <w:t xml:space="preserve"> (</w:t>
      </w:r>
      <w:proofErr w:type="spellStart"/>
      <w:r w:rsidRPr="008D53FC">
        <w:t>Presize</w:t>
      </w:r>
      <w:proofErr w:type="spellEnd"/>
      <w:r w:rsidRPr="008D53FC">
        <w:t xml:space="preserve">) ⃝ </w:t>
      </w:r>
      <w:r>
        <w:t>……………………..</w:t>
      </w:r>
    </w:p>
    <w:p w:rsidR="00A223B7" w:rsidRDefault="00A223B7" w:rsidP="00A223B7">
      <w:r w:rsidRPr="008D53FC">
        <w:t xml:space="preserve"> </w:t>
      </w:r>
    </w:p>
    <w:p w:rsidR="00A223B7" w:rsidRPr="008D53FC" w:rsidRDefault="00A223B7" w:rsidP="00A223B7">
      <w:r>
        <w:t>VII-</w:t>
      </w:r>
      <w:r w:rsidRPr="008D53FC">
        <w:t xml:space="preserve">Ki </w:t>
      </w:r>
      <w:proofErr w:type="spellStart"/>
      <w:r w:rsidRPr="008D53FC">
        <w:t>kalite</w:t>
      </w:r>
      <w:proofErr w:type="spellEnd"/>
      <w:r w:rsidRPr="008D53FC">
        <w:t xml:space="preserve"> kay ? </w:t>
      </w:r>
    </w:p>
    <w:p w:rsidR="00A223B7" w:rsidRPr="004C1746" w:rsidRDefault="00A223B7" w:rsidP="00A223B7">
      <w:r w:rsidRPr="004C1746">
        <w:t xml:space="preserve">1. Kay </w:t>
      </w:r>
      <w:proofErr w:type="spellStart"/>
      <w:r w:rsidRPr="004C1746">
        <w:t>ba</w:t>
      </w:r>
      <w:proofErr w:type="spellEnd"/>
      <w:r w:rsidRPr="004C1746">
        <w:t xml:space="preserve"> ⃝ </w:t>
      </w:r>
      <w:r w:rsidRPr="004C1746">
        <w:tab/>
      </w:r>
      <w:r w:rsidRPr="004C1746">
        <w:tab/>
        <w:t xml:space="preserve">2. Yon </w:t>
      </w:r>
      <w:proofErr w:type="spellStart"/>
      <w:r w:rsidRPr="004C1746">
        <w:t>etaj</w:t>
      </w:r>
      <w:proofErr w:type="spellEnd"/>
      <w:r w:rsidRPr="004C1746">
        <w:t xml:space="preserve"> ⃝  </w:t>
      </w:r>
      <w:r w:rsidRPr="004C1746">
        <w:tab/>
      </w:r>
      <w:r w:rsidRPr="004C1746">
        <w:tab/>
      </w:r>
      <w:r>
        <w:tab/>
      </w:r>
      <w:r w:rsidRPr="004C1746">
        <w:t xml:space="preserve">3. </w:t>
      </w:r>
      <w:proofErr w:type="spellStart"/>
      <w:r w:rsidRPr="004C1746">
        <w:t>Anpil</w:t>
      </w:r>
      <w:proofErr w:type="spellEnd"/>
      <w:r w:rsidRPr="004C1746">
        <w:t xml:space="preserve"> </w:t>
      </w:r>
      <w:proofErr w:type="spellStart"/>
      <w:r w:rsidRPr="004C1746">
        <w:t>etaj</w:t>
      </w:r>
      <w:proofErr w:type="spellEnd"/>
      <w:r w:rsidRPr="004C1746">
        <w:t xml:space="preserve"> ⃝ </w:t>
      </w:r>
      <w:r w:rsidRPr="004C1746">
        <w:tab/>
      </w:r>
      <w:r w:rsidRPr="004C1746">
        <w:tab/>
        <w:t xml:space="preserve"> </w:t>
      </w:r>
    </w:p>
    <w:p w:rsidR="00A223B7" w:rsidRPr="004C1746" w:rsidRDefault="00A223B7" w:rsidP="00A223B7"/>
    <w:p w:rsidR="00A223B7" w:rsidRPr="004C1746" w:rsidRDefault="00A223B7" w:rsidP="00A223B7">
      <w:r>
        <w:t>VIII-</w:t>
      </w:r>
      <w:r w:rsidRPr="004C1746">
        <w:t xml:space="preserve">Nan </w:t>
      </w:r>
      <w:proofErr w:type="spellStart"/>
      <w:r w:rsidRPr="004C1746">
        <w:t>ki</w:t>
      </w:r>
      <w:proofErr w:type="spellEnd"/>
      <w:r w:rsidRPr="004C1746">
        <w:t xml:space="preserve"> eta kay la ye? </w:t>
      </w:r>
    </w:p>
    <w:p w:rsidR="00A223B7" w:rsidRPr="004C1746" w:rsidRDefault="00A223B7" w:rsidP="00A223B7">
      <w:r w:rsidRPr="004C1746">
        <w:t xml:space="preserve">1. Pa gen </w:t>
      </w:r>
      <w:proofErr w:type="spellStart"/>
      <w:r w:rsidRPr="004C1746">
        <w:t>domaj</w:t>
      </w:r>
      <w:proofErr w:type="spellEnd"/>
      <w:r w:rsidRPr="004C1746">
        <w:t xml:space="preserve"> ⃝ </w:t>
      </w:r>
      <w:r w:rsidRPr="004C1746">
        <w:tab/>
      </w:r>
      <w:r>
        <w:tab/>
      </w:r>
      <w:r w:rsidRPr="004C1746">
        <w:t xml:space="preserve">2. Yon </w:t>
      </w:r>
      <w:proofErr w:type="spellStart"/>
      <w:r w:rsidRPr="004C1746">
        <w:t>ti</w:t>
      </w:r>
      <w:proofErr w:type="spellEnd"/>
      <w:r w:rsidRPr="004C1746">
        <w:t xml:space="preserve"> </w:t>
      </w:r>
      <w:proofErr w:type="spellStart"/>
      <w:r w:rsidRPr="004C1746">
        <w:t>andomaje</w:t>
      </w:r>
      <w:proofErr w:type="spellEnd"/>
      <w:r w:rsidRPr="004C1746">
        <w:t xml:space="preserve"> ⃝</w:t>
      </w:r>
      <w:r w:rsidRPr="004C1746">
        <w:tab/>
      </w:r>
      <w:r>
        <w:tab/>
      </w:r>
      <w:r w:rsidRPr="004C1746">
        <w:t xml:space="preserve"> 3. </w:t>
      </w:r>
      <w:proofErr w:type="spellStart"/>
      <w:r w:rsidRPr="004C1746">
        <w:t>Andomaje</w:t>
      </w:r>
      <w:proofErr w:type="spellEnd"/>
      <w:r w:rsidRPr="004C1746">
        <w:t xml:space="preserve"> </w:t>
      </w:r>
      <w:proofErr w:type="spellStart"/>
      <w:r w:rsidRPr="004C1746">
        <w:t>anpil</w:t>
      </w:r>
      <w:proofErr w:type="spellEnd"/>
      <w:r w:rsidRPr="004C1746">
        <w:t xml:space="preserve"> ⃝ </w:t>
      </w:r>
      <w:r w:rsidRPr="004C1746">
        <w:tab/>
      </w:r>
      <w:r w:rsidRPr="004C1746">
        <w:tab/>
        <w:t xml:space="preserve"> </w:t>
      </w:r>
    </w:p>
    <w:p w:rsidR="00A223B7" w:rsidRPr="004C1746" w:rsidRDefault="00A223B7" w:rsidP="00A223B7"/>
    <w:p w:rsidR="00A223B7" w:rsidRDefault="00A223B7" w:rsidP="00A223B7">
      <w:pPr>
        <w:rPr>
          <w:lang w:val="fr-FR"/>
        </w:rPr>
      </w:pPr>
      <w:r w:rsidRPr="001B40DC">
        <w:rPr>
          <w:lang w:val="fr-FR"/>
        </w:rPr>
        <w:t>IX-</w:t>
      </w:r>
      <w:proofErr w:type="spellStart"/>
      <w:r w:rsidRPr="001B40DC">
        <w:rPr>
          <w:lang w:val="fr-FR"/>
        </w:rPr>
        <w:t>Konbyen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moun</w:t>
      </w:r>
      <w:proofErr w:type="spellEnd"/>
      <w:r w:rsidRPr="001B40DC">
        <w:rPr>
          <w:lang w:val="fr-FR"/>
        </w:rPr>
        <w:t xml:space="preserve"> (</w:t>
      </w:r>
      <w:proofErr w:type="spellStart"/>
      <w:r w:rsidRPr="001B40DC">
        <w:rPr>
          <w:lang w:val="fr-FR"/>
        </w:rPr>
        <w:t>konte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tèt</w:t>
      </w:r>
      <w:proofErr w:type="spellEnd"/>
      <w:r w:rsidRPr="001B40DC">
        <w:rPr>
          <w:lang w:val="fr-FR"/>
        </w:rPr>
        <w:t xml:space="preserve"> ou </w:t>
      </w:r>
      <w:proofErr w:type="spellStart"/>
      <w:r w:rsidRPr="001B40DC">
        <w:rPr>
          <w:lang w:val="fr-FR"/>
        </w:rPr>
        <w:t>ladan</w:t>
      </w:r>
      <w:proofErr w:type="spellEnd"/>
      <w:r w:rsidRPr="001B40DC">
        <w:rPr>
          <w:lang w:val="fr-FR"/>
        </w:rPr>
        <w:t xml:space="preserve"> l) </w:t>
      </w:r>
      <w:proofErr w:type="spellStart"/>
      <w:r w:rsidRPr="001B40DC">
        <w:rPr>
          <w:lang w:val="fr-FR"/>
        </w:rPr>
        <w:t>ap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viv</w:t>
      </w:r>
      <w:proofErr w:type="spellEnd"/>
      <w:r w:rsidRPr="001B40DC">
        <w:rPr>
          <w:lang w:val="fr-FR"/>
        </w:rPr>
        <w:t xml:space="preserve"> nan </w:t>
      </w:r>
      <w:proofErr w:type="spellStart"/>
      <w:r w:rsidRPr="001B40DC">
        <w:rPr>
          <w:lang w:val="fr-FR"/>
        </w:rPr>
        <w:t>kay</w:t>
      </w:r>
      <w:proofErr w:type="spellEnd"/>
      <w:r w:rsidRPr="001B40DC">
        <w:rPr>
          <w:lang w:val="fr-FR"/>
        </w:rPr>
        <w:t xml:space="preserve"> la? </w:t>
      </w:r>
    </w:p>
    <w:p w:rsidR="00A223B7" w:rsidRPr="001B40DC" w:rsidRDefault="00A223B7" w:rsidP="00A223B7">
      <w:pPr>
        <w:rPr>
          <w:lang w:val="fr-FR"/>
        </w:rPr>
      </w:pPr>
      <w:r>
        <w:rPr>
          <w:lang w:val="fr-FR"/>
        </w:rPr>
        <w:t>………………………………………………………………………………………..</w:t>
      </w: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X-</w:t>
      </w:r>
      <w:proofErr w:type="spellStart"/>
      <w:r w:rsidRPr="001B40DC">
        <w:rPr>
          <w:lang w:val="fr-FR"/>
        </w:rPr>
        <w:t>Eske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genyen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lòt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fanmi</w:t>
      </w:r>
      <w:proofErr w:type="spellEnd"/>
      <w:r w:rsidRPr="001B40DC">
        <w:rPr>
          <w:lang w:val="fr-FR"/>
        </w:rPr>
        <w:t xml:space="preserve"> </w:t>
      </w:r>
      <w:proofErr w:type="spellStart"/>
      <w:r w:rsidRPr="001B40DC">
        <w:rPr>
          <w:lang w:val="fr-FR"/>
        </w:rPr>
        <w:t>k’a</w:t>
      </w:r>
      <w:r w:rsidRPr="00011283">
        <w:rPr>
          <w:lang w:val="fr-FR"/>
        </w:rPr>
        <w:t>p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viv</w:t>
      </w:r>
      <w:proofErr w:type="spellEnd"/>
      <w:r w:rsidRPr="00011283">
        <w:rPr>
          <w:lang w:val="fr-FR"/>
        </w:rPr>
        <w:t xml:space="preserve"> nan </w:t>
      </w:r>
      <w:proofErr w:type="spellStart"/>
      <w:r w:rsidRPr="00011283">
        <w:rPr>
          <w:lang w:val="fr-FR"/>
        </w:rPr>
        <w:t>kay</w:t>
      </w:r>
      <w:proofErr w:type="spellEnd"/>
      <w:r w:rsidRPr="00011283">
        <w:rPr>
          <w:lang w:val="fr-FR"/>
        </w:rPr>
        <w:t xml:space="preserve"> sa </w:t>
      </w:r>
      <w:proofErr w:type="spellStart"/>
      <w:r w:rsidRPr="00011283">
        <w:rPr>
          <w:lang w:val="fr-FR"/>
        </w:rPr>
        <w:t>tou</w:t>
      </w:r>
      <w:proofErr w:type="spellEnd"/>
      <w:r w:rsidRPr="00011283">
        <w:rPr>
          <w:lang w:val="fr-FR"/>
        </w:rPr>
        <w:t xml:space="preserve">? </w:t>
      </w:r>
    </w:p>
    <w:p w:rsidR="00A223B7" w:rsidRPr="00A223B7" w:rsidRDefault="00A223B7" w:rsidP="00A223B7">
      <w:pPr>
        <w:rPr>
          <w:lang w:val="fr-FR"/>
        </w:rPr>
      </w:pPr>
      <w:r w:rsidRPr="004C1746">
        <w:rPr>
          <w:lang w:val="fr-FR"/>
        </w:rPr>
        <w:t>1. Non ⃝</w:t>
      </w:r>
      <w:r w:rsidRPr="004C1746"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4C1746">
        <w:rPr>
          <w:lang w:val="fr-FR"/>
        </w:rPr>
        <w:t xml:space="preserve"> </w:t>
      </w:r>
      <w:r w:rsidRPr="00A223B7">
        <w:rPr>
          <w:lang w:val="fr-FR"/>
        </w:rPr>
        <w:t xml:space="preserve">2. Wi ⃝ </w:t>
      </w:r>
    </w:p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 xml:space="preserve">Si </w:t>
      </w:r>
      <w:proofErr w:type="spellStart"/>
      <w:r w:rsidRPr="00A223B7">
        <w:rPr>
          <w:lang w:val="fr-FR"/>
        </w:rPr>
        <w:t>wi</w:t>
      </w:r>
      <w:proofErr w:type="spellEnd"/>
      <w:r w:rsidRPr="00A223B7">
        <w:rPr>
          <w:lang w:val="fr-FR"/>
        </w:rPr>
        <w:t>, (</w:t>
      </w:r>
      <w:proofErr w:type="spellStart"/>
      <w:r w:rsidRPr="00A223B7">
        <w:rPr>
          <w:lang w:val="fr-FR"/>
        </w:rPr>
        <w:t>presize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konbyen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fanmi</w:t>
      </w:r>
      <w:proofErr w:type="spellEnd"/>
      <w:r w:rsidRPr="00A223B7">
        <w:rPr>
          <w:lang w:val="fr-FR"/>
        </w:rPr>
        <w:t xml:space="preserve"> / </w:t>
      </w:r>
      <w:proofErr w:type="spellStart"/>
      <w:r w:rsidRPr="00A223B7">
        <w:rPr>
          <w:lang w:val="fr-FR"/>
        </w:rPr>
        <w:t>moun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kap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reponn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kesyon</w:t>
      </w:r>
      <w:proofErr w:type="spellEnd"/>
      <w:r w:rsidRPr="00A223B7">
        <w:rPr>
          <w:lang w:val="fr-FR"/>
        </w:rPr>
        <w:t xml:space="preserve"> an </w:t>
      </w:r>
      <w:proofErr w:type="spellStart"/>
      <w:r w:rsidRPr="00A223B7">
        <w:rPr>
          <w:lang w:val="fr-FR"/>
        </w:rPr>
        <w:t>pa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ladan</w:t>
      </w:r>
      <w:proofErr w:type="spellEnd"/>
      <w:r w:rsidRPr="00A223B7">
        <w:rPr>
          <w:lang w:val="fr-FR"/>
        </w:rPr>
        <w:t xml:space="preserve"> l) ……………………………….</w:t>
      </w:r>
    </w:p>
    <w:p w:rsidR="00A223B7" w:rsidRPr="00A223B7" w:rsidRDefault="00A223B7" w:rsidP="00A223B7">
      <w:pPr>
        <w:rPr>
          <w:lang w:val="fr-FR"/>
        </w:rPr>
      </w:pP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XI-</w:t>
      </w:r>
      <w:proofErr w:type="spellStart"/>
      <w:r w:rsidRPr="00011283">
        <w:rPr>
          <w:lang w:val="fr-FR"/>
        </w:rPr>
        <w:t>Eske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kòb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lwaye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kay</w:t>
      </w:r>
      <w:proofErr w:type="spellEnd"/>
      <w:r w:rsidRPr="00011283">
        <w:rPr>
          <w:lang w:val="fr-FR"/>
        </w:rPr>
        <w:t xml:space="preserve"> sa </w:t>
      </w:r>
      <w:proofErr w:type="spellStart"/>
      <w:r w:rsidRPr="00011283">
        <w:rPr>
          <w:lang w:val="fr-FR"/>
        </w:rPr>
        <w:t>chanje</w:t>
      </w:r>
      <w:proofErr w:type="spellEnd"/>
      <w:r w:rsidRPr="00011283">
        <w:rPr>
          <w:lang w:val="fr-FR"/>
        </w:rPr>
        <w:t xml:space="preserve"> a </w:t>
      </w:r>
      <w:proofErr w:type="spellStart"/>
      <w:r w:rsidRPr="00011283">
        <w:rPr>
          <w:lang w:val="fr-FR"/>
        </w:rPr>
        <w:t>koz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domaj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kay</w:t>
      </w:r>
      <w:proofErr w:type="spellEnd"/>
      <w:r w:rsidRPr="00011283">
        <w:rPr>
          <w:lang w:val="fr-FR"/>
        </w:rPr>
        <w:t xml:space="preserve"> la te </w:t>
      </w:r>
      <w:proofErr w:type="spellStart"/>
      <w:r w:rsidRPr="00011283">
        <w:rPr>
          <w:lang w:val="fr-FR"/>
        </w:rPr>
        <w:t>genyen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aprè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siklòn</w:t>
      </w:r>
      <w:proofErr w:type="spellEnd"/>
      <w:r w:rsidRPr="00011283">
        <w:rPr>
          <w:lang w:val="fr-FR"/>
        </w:rPr>
        <w:t xml:space="preserve"> nan ? </w:t>
      </w:r>
    </w:p>
    <w:p w:rsidR="00A223B7" w:rsidRDefault="00A223B7" w:rsidP="00A223B7">
      <w:r>
        <w:t xml:space="preserve">1. </w:t>
      </w:r>
      <w:proofErr w:type="spellStart"/>
      <w:r>
        <w:t>Lwaye</w:t>
      </w:r>
      <w:proofErr w:type="spellEnd"/>
      <w:r>
        <w:t xml:space="preserve"> a </w:t>
      </w:r>
      <w:proofErr w:type="spellStart"/>
      <w:r>
        <w:t>ogmante</w:t>
      </w:r>
      <w:proofErr w:type="spellEnd"/>
      <w:r>
        <w:t xml:space="preserve"> ⃝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</w:t>
      </w:r>
      <w:proofErr w:type="spellStart"/>
      <w:r>
        <w:t>Menm</w:t>
      </w:r>
      <w:proofErr w:type="spellEnd"/>
      <w:r>
        <w:t xml:space="preserve"> </w:t>
      </w:r>
      <w:proofErr w:type="spellStart"/>
      <w:r>
        <w:t>lwaye</w:t>
      </w:r>
      <w:proofErr w:type="spellEnd"/>
      <w:r>
        <w:t xml:space="preserve"> a ⃝</w:t>
      </w:r>
      <w:r>
        <w:tab/>
      </w:r>
    </w:p>
    <w:p w:rsidR="00A223B7" w:rsidRDefault="00A223B7" w:rsidP="00A223B7">
      <w:r>
        <w:t xml:space="preserve"> 3. </w:t>
      </w:r>
      <w:proofErr w:type="spellStart"/>
      <w:r>
        <w:t>Menm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a men </w:t>
      </w:r>
      <w:proofErr w:type="spellStart"/>
      <w:r>
        <w:t>itilite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(</w:t>
      </w:r>
      <w:proofErr w:type="spellStart"/>
      <w:r>
        <w:t>kouran</w:t>
      </w:r>
      <w:proofErr w:type="spellEnd"/>
      <w:r>
        <w:t>/</w:t>
      </w:r>
      <w:proofErr w:type="spellStart"/>
      <w:r>
        <w:t>dlo</w:t>
      </w:r>
      <w:proofErr w:type="spellEnd"/>
      <w:r>
        <w:t xml:space="preserve">) pa </w:t>
      </w:r>
      <w:proofErr w:type="spellStart"/>
      <w:r>
        <w:t>ladan’l</w:t>
      </w:r>
      <w:proofErr w:type="spellEnd"/>
      <w:r>
        <w:t xml:space="preserve"> ⃝ </w:t>
      </w:r>
      <w:r>
        <w:tab/>
      </w:r>
      <w:r>
        <w:tab/>
        <w:t xml:space="preserve">4. </w:t>
      </w:r>
      <w:proofErr w:type="spellStart"/>
      <w:r>
        <w:t>Diminye</w:t>
      </w:r>
      <w:proofErr w:type="spellEnd"/>
      <w:r>
        <w:t xml:space="preserve"> ⃝ </w:t>
      </w:r>
    </w:p>
    <w:p w:rsidR="00A223B7" w:rsidRDefault="00A223B7" w:rsidP="00A223B7">
      <w:r>
        <w:t xml:space="preserve"> </w:t>
      </w:r>
    </w:p>
    <w:p w:rsidR="00A223B7" w:rsidRPr="00A223B7" w:rsidRDefault="00A223B7" w:rsidP="00A223B7">
      <w:pPr>
        <w:rPr>
          <w:lang w:val="fr-FR"/>
        </w:rPr>
      </w:pPr>
      <w:r>
        <w:t xml:space="preserve">XII-Ki </w:t>
      </w:r>
      <w:proofErr w:type="spellStart"/>
      <w:r>
        <w:t>kalite</w:t>
      </w:r>
      <w:proofErr w:type="spellEnd"/>
      <w:r>
        <w:t xml:space="preserve"> </w:t>
      </w:r>
      <w:proofErr w:type="spellStart"/>
      <w:r>
        <w:t>sèvis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genyen</w:t>
      </w:r>
      <w:proofErr w:type="spellEnd"/>
      <w:r>
        <w:t xml:space="preserve"> nan kay </w:t>
      </w:r>
      <w:proofErr w:type="spellStart"/>
      <w:r>
        <w:t>wap</w:t>
      </w:r>
      <w:proofErr w:type="spellEnd"/>
      <w:r>
        <w:t xml:space="preserve"> </w:t>
      </w:r>
      <w:proofErr w:type="spellStart"/>
      <w:r>
        <w:t>lwe</w:t>
      </w:r>
      <w:proofErr w:type="spellEnd"/>
      <w:r>
        <w:t xml:space="preserve"> a? </w:t>
      </w:r>
      <w:r w:rsidRPr="00A223B7">
        <w:rPr>
          <w:lang w:val="fr-FR"/>
        </w:rPr>
        <w:t xml:space="preserve">(ou </w:t>
      </w:r>
      <w:proofErr w:type="spellStart"/>
      <w:r w:rsidRPr="00A223B7">
        <w:rPr>
          <w:lang w:val="fr-FR"/>
        </w:rPr>
        <w:t>kapab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genyen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plizyè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repons</w:t>
      </w:r>
      <w:proofErr w:type="spellEnd"/>
      <w:r w:rsidRPr="00A223B7">
        <w:rPr>
          <w:lang w:val="fr-FR"/>
        </w:rPr>
        <w:t xml:space="preserve">? </w:t>
      </w:r>
    </w:p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 xml:space="preserve">1. </w:t>
      </w:r>
      <w:proofErr w:type="spellStart"/>
      <w:r w:rsidRPr="00A223B7">
        <w:rPr>
          <w:lang w:val="fr-FR"/>
        </w:rPr>
        <w:t>Elektrisite</w:t>
      </w:r>
      <w:proofErr w:type="spellEnd"/>
      <w:r w:rsidRPr="00A223B7">
        <w:rPr>
          <w:lang w:val="fr-FR"/>
        </w:rPr>
        <w:t xml:space="preserve"> ⃝ </w:t>
      </w:r>
      <w:r w:rsidRPr="00A223B7">
        <w:rPr>
          <w:lang w:val="fr-FR"/>
        </w:rPr>
        <w:tab/>
      </w:r>
      <w:r w:rsidRPr="00A223B7">
        <w:rPr>
          <w:lang w:val="fr-FR"/>
        </w:rPr>
        <w:tab/>
        <w:t xml:space="preserve">2. </w:t>
      </w:r>
      <w:proofErr w:type="spellStart"/>
      <w:r w:rsidRPr="00A223B7">
        <w:rPr>
          <w:lang w:val="fr-FR"/>
        </w:rPr>
        <w:t>Dlo</w:t>
      </w:r>
      <w:proofErr w:type="spellEnd"/>
      <w:r w:rsidRPr="00A223B7">
        <w:rPr>
          <w:lang w:val="fr-FR"/>
        </w:rPr>
        <w:t xml:space="preserve"> (</w:t>
      </w:r>
      <w:proofErr w:type="spellStart"/>
      <w:r w:rsidRPr="00A223B7">
        <w:rPr>
          <w:lang w:val="fr-FR"/>
        </w:rPr>
        <w:t>ki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pa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dlo</w:t>
      </w:r>
      <w:proofErr w:type="spellEnd"/>
      <w:r w:rsidRPr="00A223B7">
        <w:rPr>
          <w:lang w:val="fr-FR"/>
        </w:rPr>
        <w:t xml:space="preserve"> pou </w:t>
      </w:r>
      <w:proofErr w:type="spellStart"/>
      <w:r w:rsidRPr="00A223B7">
        <w:rPr>
          <w:lang w:val="fr-FR"/>
        </w:rPr>
        <w:t>bwè</w:t>
      </w:r>
      <w:proofErr w:type="spellEnd"/>
      <w:r w:rsidRPr="00A223B7">
        <w:rPr>
          <w:lang w:val="fr-FR"/>
        </w:rPr>
        <w:t xml:space="preserve">) ⃝         3. </w:t>
      </w:r>
      <w:proofErr w:type="spellStart"/>
      <w:r w:rsidRPr="00A223B7">
        <w:rPr>
          <w:lang w:val="fr-FR"/>
        </w:rPr>
        <w:t>Dlo</w:t>
      </w:r>
      <w:proofErr w:type="spellEnd"/>
      <w:r w:rsidRPr="00A223B7">
        <w:rPr>
          <w:lang w:val="fr-FR"/>
        </w:rPr>
        <w:t xml:space="preserve"> pou </w:t>
      </w:r>
      <w:proofErr w:type="spellStart"/>
      <w:r w:rsidRPr="00A223B7">
        <w:rPr>
          <w:lang w:val="fr-FR"/>
        </w:rPr>
        <w:t>bwè</w:t>
      </w:r>
      <w:proofErr w:type="spellEnd"/>
      <w:r w:rsidRPr="00A223B7">
        <w:rPr>
          <w:lang w:val="fr-FR"/>
        </w:rPr>
        <w:t xml:space="preserve"> ⃝      </w:t>
      </w:r>
    </w:p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 xml:space="preserve"> 4. </w:t>
      </w:r>
      <w:proofErr w:type="spellStart"/>
      <w:r w:rsidRPr="00A223B7">
        <w:rPr>
          <w:lang w:val="fr-FR"/>
        </w:rPr>
        <w:t>Kizin</w:t>
      </w:r>
      <w:proofErr w:type="spellEnd"/>
      <w:r w:rsidRPr="00A223B7">
        <w:rPr>
          <w:lang w:val="fr-FR"/>
        </w:rPr>
        <w:t xml:space="preserve"> ⃝ </w:t>
      </w:r>
      <w:r w:rsidRPr="00A223B7">
        <w:rPr>
          <w:lang w:val="fr-FR"/>
        </w:rPr>
        <w:tab/>
      </w:r>
      <w:r w:rsidRPr="00A223B7">
        <w:rPr>
          <w:lang w:val="fr-FR"/>
        </w:rPr>
        <w:tab/>
        <w:t xml:space="preserve">5. </w:t>
      </w:r>
      <w:proofErr w:type="spellStart"/>
      <w:r w:rsidRPr="00A223B7">
        <w:rPr>
          <w:lang w:val="fr-FR"/>
        </w:rPr>
        <w:t>Latrin</w:t>
      </w:r>
      <w:proofErr w:type="spellEnd"/>
      <w:r w:rsidRPr="00A223B7">
        <w:rPr>
          <w:lang w:val="fr-FR"/>
        </w:rPr>
        <w:t xml:space="preserve"> ⃝      </w:t>
      </w:r>
      <w:r w:rsidRPr="00A223B7">
        <w:rPr>
          <w:lang w:val="fr-FR"/>
        </w:rPr>
        <w:tab/>
      </w:r>
      <w:r w:rsidRPr="00A223B7">
        <w:rPr>
          <w:lang w:val="fr-FR"/>
        </w:rPr>
        <w:tab/>
      </w:r>
      <w:r w:rsidRPr="00A223B7">
        <w:rPr>
          <w:lang w:val="fr-FR"/>
        </w:rPr>
        <w:tab/>
        <w:t xml:space="preserve">6. </w:t>
      </w:r>
      <w:proofErr w:type="spellStart"/>
      <w:r w:rsidRPr="00A223B7">
        <w:rPr>
          <w:lang w:val="fr-FR"/>
        </w:rPr>
        <w:t>Twalèt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ijenik</w:t>
      </w:r>
      <w:proofErr w:type="spellEnd"/>
      <w:r w:rsidRPr="00A223B7">
        <w:rPr>
          <w:lang w:val="fr-FR"/>
        </w:rPr>
        <w:t xml:space="preserve"> ⃝      </w:t>
      </w:r>
    </w:p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 xml:space="preserve"> 7. </w:t>
      </w:r>
      <w:proofErr w:type="spellStart"/>
      <w:r w:rsidRPr="00A223B7">
        <w:rPr>
          <w:lang w:val="fr-FR"/>
        </w:rPr>
        <w:t>Lòt</w:t>
      </w:r>
      <w:proofErr w:type="spellEnd"/>
      <w:r w:rsidRPr="00A223B7">
        <w:rPr>
          <w:lang w:val="fr-FR"/>
        </w:rPr>
        <w:t xml:space="preserve"> ⃝ (</w:t>
      </w:r>
      <w:proofErr w:type="spellStart"/>
      <w:r w:rsidRPr="00A223B7">
        <w:rPr>
          <w:lang w:val="fr-FR"/>
        </w:rPr>
        <w:t>Presize</w:t>
      </w:r>
      <w:proofErr w:type="spellEnd"/>
      <w:r w:rsidRPr="00A223B7">
        <w:rPr>
          <w:lang w:val="fr-FR"/>
        </w:rPr>
        <w:t>……………………………………………………………………………………………….)</w:t>
      </w:r>
    </w:p>
    <w:p w:rsidR="00A223B7" w:rsidRPr="00A223B7" w:rsidRDefault="00A223B7" w:rsidP="00A223B7">
      <w:pPr>
        <w:rPr>
          <w:lang w:val="fr-FR"/>
        </w:rPr>
      </w:pPr>
    </w:p>
    <w:p w:rsidR="00A223B7" w:rsidRPr="00A223B7" w:rsidRDefault="00A223B7" w:rsidP="00A223B7">
      <w:pPr>
        <w:rPr>
          <w:lang w:val="fr-FR"/>
        </w:rPr>
      </w:pPr>
      <w:r w:rsidRPr="00A223B7">
        <w:rPr>
          <w:lang w:val="fr-FR"/>
        </w:rPr>
        <w:t>XIII-</w:t>
      </w:r>
      <w:proofErr w:type="spellStart"/>
      <w:r w:rsidRPr="00A223B7">
        <w:rPr>
          <w:lang w:val="fr-FR"/>
        </w:rPr>
        <w:t>Depi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ki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lè</w:t>
      </w:r>
      <w:proofErr w:type="spellEnd"/>
      <w:r w:rsidRPr="00A223B7">
        <w:rPr>
          <w:lang w:val="fr-FR"/>
        </w:rPr>
        <w:t xml:space="preserve"> w </w:t>
      </w:r>
      <w:proofErr w:type="spellStart"/>
      <w:r w:rsidRPr="00A223B7">
        <w:rPr>
          <w:lang w:val="fr-FR"/>
        </w:rPr>
        <w:t>ap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lwe</w:t>
      </w:r>
      <w:proofErr w:type="spellEnd"/>
      <w:r w:rsidRPr="00A223B7">
        <w:rPr>
          <w:lang w:val="fr-FR"/>
        </w:rPr>
        <w:t xml:space="preserve"> </w:t>
      </w:r>
      <w:proofErr w:type="spellStart"/>
      <w:r w:rsidRPr="00A223B7">
        <w:rPr>
          <w:lang w:val="fr-FR"/>
        </w:rPr>
        <w:t>kay</w:t>
      </w:r>
      <w:proofErr w:type="spellEnd"/>
      <w:r w:rsidRPr="00A223B7">
        <w:rPr>
          <w:lang w:val="fr-FR"/>
        </w:rPr>
        <w:t xml:space="preserve"> sa?  </w:t>
      </w:r>
    </w:p>
    <w:p w:rsidR="00A223B7" w:rsidRPr="004376FD" w:rsidRDefault="00A223B7" w:rsidP="00A223B7">
      <w:pPr>
        <w:rPr>
          <w:lang w:val="fr-FR"/>
        </w:rPr>
      </w:pPr>
      <w:r w:rsidRPr="004376FD">
        <w:rPr>
          <w:lang w:val="fr-FR"/>
        </w:rPr>
        <w:t xml:space="preserve">         ………………………………………………..</w:t>
      </w:r>
    </w:p>
    <w:p w:rsidR="00A223B7" w:rsidRPr="00A063AA" w:rsidRDefault="00A223B7" w:rsidP="00A223B7">
      <w:pPr>
        <w:rPr>
          <w:lang w:val="fr-FR"/>
        </w:rPr>
      </w:pPr>
      <w:r w:rsidRPr="004376FD">
        <w:rPr>
          <w:lang w:val="fr-FR"/>
        </w:rPr>
        <w:t>XIV-</w:t>
      </w:r>
      <w:proofErr w:type="spellStart"/>
      <w:r>
        <w:rPr>
          <w:lang w:val="fr-FR"/>
        </w:rPr>
        <w:t>Eske</w:t>
      </w:r>
      <w:proofErr w:type="spellEnd"/>
      <w:r>
        <w:rPr>
          <w:lang w:val="fr-FR"/>
        </w:rPr>
        <w:t xml:space="preserve"> ou te </w:t>
      </w:r>
      <w:proofErr w:type="spellStart"/>
      <w:r>
        <w:rPr>
          <w:lang w:val="fr-FR"/>
        </w:rPr>
        <w:t>yon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pwop</w:t>
      </w:r>
      <w:r w:rsidRPr="004376FD">
        <w:rPr>
          <w:lang w:val="fr-FR"/>
        </w:rPr>
        <w:t>yetè</w:t>
      </w:r>
      <w:proofErr w:type="spellEnd"/>
      <w:r w:rsidRPr="004376FD">
        <w:rPr>
          <w:lang w:val="fr-FR"/>
        </w:rPr>
        <w:t xml:space="preserve"> </w:t>
      </w:r>
      <w:proofErr w:type="spellStart"/>
      <w:r w:rsidRPr="004376FD">
        <w:rPr>
          <w:lang w:val="fr-FR"/>
        </w:rPr>
        <w:t>oswa</w:t>
      </w:r>
      <w:proofErr w:type="spellEnd"/>
      <w:r w:rsidRPr="004376FD">
        <w:rPr>
          <w:lang w:val="fr-FR"/>
        </w:rPr>
        <w:t xml:space="preserve"> </w:t>
      </w:r>
      <w:proofErr w:type="spellStart"/>
      <w:r w:rsidRPr="004376FD">
        <w:rPr>
          <w:lang w:val="fr-FR"/>
        </w:rPr>
        <w:t>yon</w:t>
      </w:r>
      <w:proofErr w:type="spellEnd"/>
      <w:r w:rsidRPr="004376FD">
        <w:rPr>
          <w:lang w:val="fr-FR"/>
        </w:rPr>
        <w:t xml:space="preserve"> </w:t>
      </w:r>
      <w:proofErr w:type="spellStart"/>
      <w:r w:rsidRPr="004376FD">
        <w:rPr>
          <w:lang w:val="fr-FR"/>
        </w:rPr>
        <w:t>lokatè</w:t>
      </w:r>
      <w:proofErr w:type="spellEnd"/>
      <w:r w:rsidRPr="004376FD">
        <w:rPr>
          <w:lang w:val="fr-FR"/>
        </w:rPr>
        <w:t xml:space="preserve"> </w:t>
      </w:r>
      <w:proofErr w:type="spellStart"/>
      <w:r w:rsidRPr="004376FD">
        <w:rPr>
          <w:lang w:val="fr-FR"/>
        </w:rPr>
        <w:t>anvan</w:t>
      </w:r>
      <w:proofErr w:type="spellEnd"/>
      <w:r w:rsidRPr="004376FD">
        <w:rPr>
          <w:lang w:val="fr-FR"/>
        </w:rPr>
        <w:t xml:space="preserve"> ou </w:t>
      </w:r>
      <w:proofErr w:type="spellStart"/>
      <w:r w:rsidRPr="004376FD">
        <w:rPr>
          <w:lang w:val="fr-FR"/>
        </w:rPr>
        <w:t>rantre</w:t>
      </w:r>
      <w:proofErr w:type="spellEnd"/>
      <w:r w:rsidRPr="004376FD">
        <w:rPr>
          <w:lang w:val="fr-FR"/>
        </w:rPr>
        <w:t xml:space="preserve"> nan </w:t>
      </w:r>
      <w:proofErr w:type="spellStart"/>
      <w:r w:rsidRPr="00011283">
        <w:rPr>
          <w:lang w:val="fr-FR"/>
        </w:rPr>
        <w:t>kay</w:t>
      </w:r>
      <w:proofErr w:type="spellEnd"/>
      <w:r w:rsidRPr="00011283">
        <w:rPr>
          <w:lang w:val="fr-FR"/>
        </w:rPr>
        <w:t xml:space="preserve"> sa ? </w:t>
      </w:r>
    </w:p>
    <w:p w:rsidR="00A223B7" w:rsidRPr="004376FD" w:rsidRDefault="00A223B7" w:rsidP="00A223B7">
      <w:pPr>
        <w:rPr>
          <w:lang w:val="fr-FR"/>
        </w:rPr>
      </w:pPr>
      <w:r>
        <w:rPr>
          <w:lang w:val="fr-FR"/>
        </w:rPr>
        <w:lastRenderedPageBreak/>
        <w:t xml:space="preserve">1. </w:t>
      </w:r>
      <w:proofErr w:type="spellStart"/>
      <w:r>
        <w:rPr>
          <w:lang w:val="fr-FR"/>
        </w:rPr>
        <w:t>Pwopryetè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 xml:space="preserve">2. </w:t>
      </w:r>
      <w:proofErr w:type="spellStart"/>
      <w:r>
        <w:rPr>
          <w:lang w:val="fr-FR"/>
        </w:rPr>
        <w:t>Lokatè</w:t>
      </w:r>
      <w:proofErr w:type="spellEnd"/>
      <w:r w:rsidRPr="00011283">
        <w:rPr>
          <w:lang w:val="fr-FR"/>
        </w:rPr>
        <w:t xml:space="preserve"> ⃝ </w:t>
      </w: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XV-</w:t>
      </w:r>
      <w:proofErr w:type="spellStart"/>
      <w:r w:rsidRPr="00011283">
        <w:rPr>
          <w:lang w:val="fr-FR"/>
        </w:rPr>
        <w:t>Eske</w:t>
      </w:r>
      <w:proofErr w:type="spellEnd"/>
      <w:r w:rsidRPr="00011283">
        <w:rPr>
          <w:lang w:val="fr-FR"/>
        </w:rPr>
        <w:t xml:space="preserve"> ou se </w:t>
      </w:r>
      <w:proofErr w:type="spellStart"/>
      <w:r w:rsidRPr="00011283">
        <w:rPr>
          <w:lang w:val="fr-FR"/>
        </w:rPr>
        <w:t>pwopryetè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teren</w:t>
      </w:r>
      <w:proofErr w:type="spellEnd"/>
      <w:r w:rsidRPr="00011283">
        <w:rPr>
          <w:lang w:val="fr-FR"/>
        </w:rPr>
        <w:t xml:space="preserve">? </w:t>
      </w: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 xml:space="preserve">1. Wi ⃝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2. Non</w:t>
      </w:r>
      <w:r w:rsidRPr="00011283">
        <w:rPr>
          <w:lang w:val="fr-FR"/>
        </w:rPr>
        <w:t xml:space="preserve"> ⃝    </w:t>
      </w:r>
    </w:p>
    <w:p w:rsidR="00A223B7" w:rsidRPr="00011283" w:rsidRDefault="00A223B7" w:rsidP="00A223B7">
      <w:pPr>
        <w:rPr>
          <w:lang w:val="fr-FR"/>
        </w:rPr>
      </w:pPr>
      <w:r w:rsidRPr="00011283">
        <w:rPr>
          <w:lang w:val="fr-FR"/>
        </w:rPr>
        <w:t xml:space="preserve">  </w:t>
      </w: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XVI-</w:t>
      </w:r>
      <w:r w:rsidRPr="00011283">
        <w:rPr>
          <w:lang w:val="fr-FR"/>
        </w:rPr>
        <w:t xml:space="preserve">Ki tip </w:t>
      </w:r>
      <w:proofErr w:type="spellStart"/>
      <w:r w:rsidRPr="00011283">
        <w:rPr>
          <w:lang w:val="fr-FR"/>
        </w:rPr>
        <w:t>kontra</w:t>
      </w:r>
      <w:proofErr w:type="spellEnd"/>
      <w:r w:rsidRPr="00011283">
        <w:rPr>
          <w:lang w:val="fr-FR"/>
        </w:rPr>
        <w:t xml:space="preserve"> ou </w:t>
      </w:r>
      <w:proofErr w:type="spellStart"/>
      <w:r w:rsidRPr="00011283">
        <w:rPr>
          <w:lang w:val="fr-FR"/>
        </w:rPr>
        <w:t>genyen</w:t>
      </w:r>
      <w:proofErr w:type="spellEnd"/>
      <w:r w:rsidRPr="00011283">
        <w:rPr>
          <w:lang w:val="fr-FR"/>
        </w:rPr>
        <w:t xml:space="preserve">? </w:t>
      </w:r>
    </w:p>
    <w:p w:rsidR="00A223B7" w:rsidRPr="00FC709D" w:rsidRDefault="00A223B7" w:rsidP="00A223B7">
      <w:pPr>
        <w:rPr>
          <w:lang w:val="fr-FR"/>
        </w:rPr>
      </w:pPr>
      <w:r>
        <w:rPr>
          <w:lang w:val="fr-FR"/>
        </w:rPr>
        <w:t xml:space="preserve">1. </w:t>
      </w:r>
      <w:proofErr w:type="spellStart"/>
      <w:r>
        <w:rPr>
          <w:lang w:val="fr-FR"/>
        </w:rPr>
        <w:t>Lwaye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senp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  <w:t xml:space="preserve">2. </w:t>
      </w:r>
      <w:proofErr w:type="spellStart"/>
      <w:r>
        <w:rPr>
          <w:lang w:val="fr-FR"/>
        </w:rPr>
        <w:t>Afème</w:t>
      </w:r>
      <w:proofErr w:type="spellEnd"/>
      <w:r w:rsidRPr="00011283">
        <w:rPr>
          <w:lang w:val="fr-FR"/>
        </w:rPr>
        <w:t xml:space="preserve"> ⃝  </w:t>
      </w:r>
      <w:r>
        <w:rPr>
          <w:lang w:val="fr-FR"/>
        </w:rPr>
        <w:tab/>
      </w:r>
      <w:r>
        <w:rPr>
          <w:lang w:val="fr-FR"/>
        </w:rPr>
        <w:tab/>
      </w:r>
      <w:r w:rsidRPr="00011283">
        <w:rPr>
          <w:lang w:val="fr-FR"/>
        </w:rPr>
        <w:t xml:space="preserve">3. </w:t>
      </w:r>
      <w:proofErr w:type="spellStart"/>
      <w:r w:rsidRPr="00FC709D">
        <w:rPr>
          <w:lang w:val="fr-FR"/>
        </w:rPr>
        <w:t>Okipan</w:t>
      </w:r>
      <w:proofErr w:type="spellEnd"/>
      <w:r w:rsidRPr="00FC709D">
        <w:rPr>
          <w:lang w:val="fr-FR"/>
        </w:rPr>
        <w:t xml:space="preserve"> </w:t>
      </w:r>
      <w:proofErr w:type="spellStart"/>
      <w:r w:rsidRPr="00FC709D">
        <w:rPr>
          <w:lang w:val="fr-FR"/>
        </w:rPr>
        <w:t>ki</w:t>
      </w:r>
      <w:proofErr w:type="spellEnd"/>
      <w:r w:rsidRPr="00FC709D">
        <w:rPr>
          <w:lang w:val="fr-FR"/>
        </w:rPr>
        <w:t xml:space="preserve"> </w:t>
      </w:r>
      <w:proofErr w:type="spellStart"/>
      <w:r w:rsidRPr="00FC709D">
        <w:rPr>
          <w:lang w:val="fr-FR"/>
        </w:rPr>
        <w:t>genyen</w:t>
      </w:r>
      <w:proofErr w:type="spellEnd"/>
      <w:r w:rsidRPr="00FC709D">
        <w:rPr>
          <w:lang w:val="fr-FR"/>
        </w:rPr>
        <w:t xml:space="preserve"> </w:t>
      </w:r>
      <w:proofErr w:type="spellStart"/>
      <w:r w:rsidRPr="00FC709D">
        <w:rPr>
          <w:lang w:val="fr-FR"/>
        </w:rPr>
        <w:t>otorizasyon</w:t>
      </w:r>
      <w:proofErr w:type="spellEnd"/>
      <w:r w:rsidRPr="00FC709D">
        <w:rPr>
          <w:lang w:val="fr-FR"/>
        </w:rPr>
        <w:t xml:space="preserve"> </w:t>
      </w:r>
      <w:proofErr w:type="spellStart"/>
      <w:r w:rsidRPr="00FC709D">
        <w:rPr>
          <w:lang w:val="fr-FR"/>
        </w:rPr>
        <w:t>pwopryètè</w:t>
      </w:r>
      <w:proofErr w:type="spellEnd"/>
      <w:r w:rsidRPr="00FC709D">
        <w:rPr>
          <w:lang w:val="fr-FR"/>
        </w:rPr>
        <w:t xml:space="preserve"> ⃝</w:t>
      </w:r>
    </w:p>
    <w:p w:rsidR="00A223B7" w:rsidRDefault="00A223B7" w:rsidP="00A223B7">
      <w:pPr>
        <w:rPr>
          <w:lang w:val="fr-FR"/>
        </w:rPr>
      </w:pPr>
      <w:r w:rsidRPr="00FC709D">
        <w:rPr>
          <w:lang w:val="fr-FR"/>
        </w:rPr>
        <w:t xml:space="preserve"> 5. </w:t>
      </w:r>
      <w:r>
        <w:rPr>
          <w:lang w:val="fr-FR"/>
        </w:rPr>
        <w:t xml:space="preserve">Pa </w:t>
      </w:r>
      <w:proofErr w:type="spellStart"/>
      <w:r>
        <w:rPr>
          <w:lang w:val="fr-FR"/>
        </w:rPr>
        <w:t>konnen</w:t>
      </w:r>
      <w:proofErr w:type="spellEnd"/>
      <w:r w:rsidRPr="00011283">
        <w:rPr>
          <w:lang w:val="fr-FR"/>
        </w:rPr>
        <w:t xml:space="preserve"> ⃝</w:t>
      </w:r>
      <w:r>
        <w:rPr>
          <w:lang w:val="fr-FR"/>
        </w:rPr>
        <w:tab/>
        <w:t xml:space="preserve"> 6. Pa </w:t>
      </w:r>
      <w:proofErr w:type="spellStart"/>
      <w:r>
        <w:rPr>
          <w:lang w:val="fr-FR"/>
        </w:rPr>
        <w:t>genyen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kontra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ekri</w:t>
      </w:r>
      <w:proofErr w:type="spellEnd"/>
      <w:r w:rsidRPr="00011283">
        <w:rPr>
          <w:lang w:val="fr-FR"/>
        </w:rPr>
        <w:t xml:space="preserve"> ⃝ </w:t>
      </w:r>
      <w:r w:rsidRPr="00FC709D">
        <w:rPr>
          <w:lang w:val="fr-FR"/>
        </w:rPr>
        <w:t xml:space="preserve">  </w:t>
      </w:r>
      <w:r>
        <w:rPr>
          <w:lang w:val="fr-FR"/>
        </w:rPr>
        <w:tab/>
      </w:r>
      <w:r w:rsidRPr="00FC709D">
        <w:rPr>
          <w:lang w:val="fr-FR"/>
        </w:rPr>
        <w:t xml:space="preserve">4. </w:t>
      </w:r>
      <w:proofErr w:type="spellStart"/>
      <w:r w:rsidRPr="00011283">
        <w:rPr>
          <w:lang w:val="fr-FR"/>
        </w:rPr>
        <w:t>Lòt</w:t>
      </w:r>
      <w:proofErr w:type="spellEnd"/>
      <w:r w:rsidRPr="00FC709D">
        <w:rPr>
          <w:lang w:val="fr-FR"/>
        </w:rPr>
        <w:t xml:space="preserve"> ⃝</w:t>
      </w:r>
      <w:r>
        <w:rPr>
          <w:lang w:val="fr-FR"/>
        </w:rPr>
        <w:t xml:space="preserve"> (</w:t>
      </w:r>
      <w:proofErr w:type="spellStart"/>
      <w:r>
        <w:rPr>
          <w:lang w:val="fr-FR"/>
        </w:rPr>
        <w:t>Presize</w:t>
      </w:r>
      <w:proofErr w:type="spellEnd"/>
      <w:r>
        <w:rPr>
          <w:lang w:val="fr-FR"/>
        </w:rPr>
        <w:t>…………………………………………..)</w:t>
      </w:r>
    </w:p>
    <w:p w:rsidR="00A223B7" w:rsidRDefault="00A223B7" w:rsidP="00A223B7">
      <w:pPr>
        <w:rPr>
          <w:lang w:val="fr-FR"/>
        </w:rPr>
      </w:pP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XVII-</w:t>
      </w:r>
      <w:r w:rsidRPr="00011283">
        <w:rPr>
          <w:lang w:val="fr-FR"/>
        </w:rPr>
        <w:t xml:space="preserve">Ki tip </w:t>
      </w:r>
      <w:proofErr w:type="spellStart"/>
      <w:r w:rsidRPr="00011283">
        <w:rPr>
          <w:lang w:val="fr-FR"/>
        </w:rPr>
        <w:t>pwosedi</w:t>
      </w:r>
      <w:proofErr w:type="spellEnd"/>
      <w:r w:rsidRPr="00011283">
        <w:rPr>
          <w:lang w:val="fr-FR"/>
        </w:rPr>
        <w:t xml:space="preserve"> ou te </w:t>
      </w:r>
      <w:proofErr w:type="spellStart"/>
      <w:r w:rsidRPr="00011283">
        <w:rPr>
          <w:lang w:val="fr-FR"/>
        </w:rPr>
        <w:t>fè</w:t>
      </w:r>
      <w:proofErr w:type="spellEnd"/>
      <w:r w:rsidRPr="00011283">
        <w:rPr>
          <w:lang w:val="fr-FR"/>
        </w:rPr>
        <w:t xml:space="preserve"> pou w te </w:t>
      </w:r>
      <w:proofErr w:type="spellStart"/>
      <w:r w:rsidRPr="00011283">
        <w:rPr>
          <w:lang w:val="fr-FR"/>
        </w:rPr>
        <w:t>kapab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lwe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kay</w:t>
      </w:r>
      <w:proofErr w:type="spellEnd"/>
      <w:r w:rsidRPr="00011283">
        <w:rPr>
          <w:lang w:val="fr-FR"/>
        </w:rPr>
        <w:t xml:space="preserve"> la ? </w:t>
      </w:r>
    </w:p>
    <w:p w:rsidR="00A223B7" w:rsidRDefault="00A223B7" w:rsidP="00A223B7">
      <w:pPr>
        <w:rPr>
          <w:lang w:val="fr-FR"/>
        </w:rPr>
      </w:pPr>
      <w:r w:rsidRPr="00011283">
        <w:rPr>
          <w:lang w:val="fr-FR"/>
        </w:rPr>
        <w:t xml:space="preserve"> </w:t>
      </w:r>
      <w:r>
        <w:rPr>
          <w:lang w:val="fr-FR"/>
        </w:rPr>
        <w:t xml:space="preserve">1. </w:t>
      </w:r>
      <w:proofErr w:type="spellStart"/>
      <w:r>
        <w:rPr>
          <w:lang w:val="fr-FR"/>
        </w:rPr>
        <w:t>Notè</w:t>
      </w:r>
      <w:proofErr w:type="spellEnd"/>
      <w:r w:rsidRPr="00011283">
        <w:rPr>
          <w:lang w:val="fr-FR"/>
        </w:rPr>
        <w:t xml:space="preserve"> ⃝</w:t>
      </w:r>
      <w:r>
        <w:rPr>
          <w:lang w:val="fr-FR"/>
        </w:rPr>
        <w:tab/>
      </w:r>
      <w:r>
        <w:rPr>
          <w:lang w:val="fr-FR"/>
        </w:rPr>
        <w:tab/>
        <w:t xml:space="preserve"> 2. </w:t>
      </w:r>
      <w:proofErr w:type="spellStart"/>
      <w:r>
        <w:rPr>
          <w:lang w:val="fr-FR"/>
        </w:rPr>
        <w:t>Avoka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011283">
        <w:rPr>
          <w:lang w:val="fr-FR"/>
        </w:rPr>
        <w:t xml:space="preserve">3. </w:t>
      </w:r>
      <w:proofErr w:type="spellStart"/>
      <w:r w:rsidRPr="00011283">
        <w:rPr>
          <w:lang w:val="fr-FR"/>
        </w:rPr>
        <w:t>Otorite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Min</w:t>
      </w:r>
      <w:r>
        <w:rPr>
          <w:lang w:val="fr-FR"/>
        </w:rPr>
        <w:t>isipal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</w: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 xml:space="preserve">4. </w:t>
      </w:r>
      <w:proofErr w:type="spellStart"/>
      <w:r>
        <w:rPr>
          <w:lang w:val="fr-FR"/>
        </w:rPr>
        <w:t>Apant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</w:r>
      <w:r w:rsidRPr="00011283">
        <w:rPr>
          <w:lang w:val="fr-FR"/>
        </w:rPr>
        <w:t>5. P</w:t>
      </w:r>
      <w:r>
        <w:rPr>
          <w:lang w:val="fr-FR"/>
        </w:rPr>
        <w:t xml:space="preserve">at </w:t>
      </w:r>
      <w:proofErr w:type="spellStart"/>
      <w:r>
        <w:rPr>
          <w:lang w:val="fr-FR"/>
        </w:rPr>
        <w:t>gen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pwosedi</w:t>
      </w:r>
      <w:proofErr w:type="spellEnd"/>
      <w:r>
        <w:rPr>
          <w:lang w:val="fr-FR"/>
        </w:rPr>
        <w:t xml:space="preserve">/ </w:t>
      </w:r>
      <w:proofErr w:type="spellStart"/>
      <w:r>
        <w:rPr>
          <w:lang w:val="fr-FR"/>
        </w:rPr>
        <w:t>akò</w:t>
      </w:r>
      <w:proofErr w:type="spellEnd"/>
      <w:r>
        <w:rPr>
          <w:lang w:val="fr-FR"/>
        </w:rPr>
        <w:t xml:space="preserve"> nan </w:t>
      </w:r>
      <w:proofErr w:type="spellStart"/>
      <w:r>
        <w:rPr>
          <w:lang w:val="fr-FR"/>
        </w:rPr>
        <w:t>bouch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  <w:t xml:space="preserve">6. Pa </w:t>
      </w:r>
      <w:proofErr w:type="spellStart"/>
      <w:r>
        <w:rPr>
          <w:lang w:val="fr-FR"/>
        </w:rPr>
        <w:t>konnen</w:t>
      </w:r>
      <w:proofErr w:type="spellEnd"/>
      <w:r w:rsidRPr="00011283">
        <w:rPr>
          <w:lang w:val="fr-FR"/>
        </w:rPr>
        <w:t xml:space="preserve"> ⃝ </w:t>
      </w:r>
    </w:p>
    <w:p w:rsidR="00A223B7" w:rsidRDefault="00A223B7" w:rsidP="00A223B7">
      <w:pPr>
        <w:rPr>
          <w:lang w:val="fr-FR"/>
        </w:rPr>
      </w:pPr>
    </w:p>
    <w:p w:rsidR="00A223B7" w:rsidRPr="00011283" w:rsidRDefault="00A223B7" w:rsidP="00A223B7">
      <w:pPr>
        <w:rPr>
          <w:lang w:val="fr-FR"/>
        </w:rPr>
      </w:pPr>
      <w:r>
        <w:rPr>
          <w:lang w:val="fr-FR"/>
        </w:rPr>
        <w:t>XVIII-</w:t>
      </w:r>
      <w:r w:rsidRPr="00011283">
        <w:rPr>
          <w:lang w:val="fr-FR"/>
        </w:rPr>
        <w:t xml:space="preserve">Ki tip </w:t>
      </w:r>
      <w:proofErr w:type="spellStart"/>
      <w:r w:rsidRPr="00011283">
        <w:rPr>
          <w:lang w:val="fr-FR"/>
        </w:rPr>
        <w:t>dokiman</w:t>
      </w:r>
      <w:proofErr w:type="spellEnd"/>
      <w:r w:rsidRPr="00011283">
        <w:rPr>
          <w:lang w:val="fr-FR"/>
        </w:rPr>
        <w:t xml:space="preserve"> ou te </w:t>
      </w:r>
      <w:proofErr w:type="spellStart"/>
      <w:r w:rsidRPr="00011283">
        <w:rPr>
          <w:lang w:val="fr-FR"/>
        </w:rPr>
        <w:t>bay</w:t>
      </w:r>
      <w:proofErr w:type="spellEnd"/>
      <w:r w:rsidRPr="00011283">
        <w:rPr>
          <w:lang w:val="fr-FR"/>
        </w:rPr>
        <w:t xml:space="preserve"> pou </w:t>
      </w:r>
      <w:proofErr w:type="spellStart"/>
      <w:r w:rsidRPr="00011283">
        <w:rPr>
          <w:lang w:val="fr-FR"/>
        </w:rPr>
        <w:t>fè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kontra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lwaye</w:t>
      </w:r>
      <w:proofErr w:type="spellEnd"/>
      <w:r w:rsidRPr="00011283">
        <w:rPr>
          <w:lang w:val="fr-FR"/>
        </w:rPr>
        <w:t xml:space="preserve"> a? </w:t>
      </w:r>
    </w:p>
    <w:p w:rsidR="00A223B7" w:rsidRPr="00963CA3" w:rsidRDefault="00A223B7" w:rsidP="00A223B7">
      <w:pPr>
        <w:rPr>
          <w:lang w:val="fr-FR"/>
        </w:rPr>
      </w:pPr>
      <w:r>
        <w:rPr>
          <w:lang w:val="fr-FR"/>
        </w:rPr>
        <w:t xml:space="preserve">1. Kat </w:t>
      </w:r>
      <w:proofErr w:type="spellStart"/>
      <w:r>
        <w:rPr>
          <w:lang w:val="fr-FR"/>
        </w:rPr>
        <w:t>Idanti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>
        <w:rPr>
          <w:lang w:val="fr-FR"/>
        </w:rPr>
        <w:tab/>
        <w:t xml:space="preserve">2. </w:t>
      </w:r>
      <w:proofErr w:type="spellStart"/>
      <w:r>
        <w:rPr>
          <w:lang w:val="fr-FR"/>
        </w:rPr>
        <w:t>Ak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nesans</w:t>
      </w:r>
      <w:proofErr w:type="spellEnd"/>
      <w:r w:rsidRPr="00011283">
        <w:rPr>
          <w:lang w:val="fr-FR"/>
        </w:rPr>
        <w:t xml:space="preserve"> ⃝ </w:t>
      </w:r>
      <w:r>
        <w:rPr>
          <w:lang w:val="fr-FR"/>
        </w:rPr>
        <w:tab/>
      </w:r>
      <w:r w:rsidRPr="00011283">
        <w:rPr>
          <w:lang w:val="fr-FR"/>
        </w:rPr>
        <w:t xml:space="preserve">3. </w:t>
      </w:r>
      <w:proofErr w:type="spellStart"/>
      <w:r>
        <w:rPr>
          <w:lang w:val="fr-FR"/>
        </w:rPr>
        <w:t>Kontra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travay</w:t>
      </w:r>
      <w:proofErr w:type="spellEnd"/>
      <w:r w:rsidRPr="00963CA3">
        <w:rPr>
          <w:lang w:val="fr-FR"/>
        </w:rPr>
        <w:t xml:space="preserve"> ⃝ </w:t>
      </w:r>
      <w:r>
        <w:rPr>
          <w:lang w:val="fr-FR"/>
        </w:rPr>
        <w:tab/>
      </w:r>
      <w:r w:rsidRPr="00963CA3">
        <w:rPr>
          <w:lang w:val="fr-FR"/>
        </w:rPr>
        <w:t xml:space="preserve">4. </w:t>
      </w:r>
      <w:proofErr w:type="spellStart"/>
      <w:r w:rsidRPr="00963CA3">
        <w:rPr>
          <w:lang w:val="fr-FR"/>
        </w:rPr>
        <w:t>Lòt</w:t>
      </w:r>
      <w:proofErr w:type="spellEnd"/>
      <w:r w:rsidRPr="00963CA3">
        <w:rPr>
          <w:lang w:val="fr-FR"/>
        </w:rPr>
        <w:t xml:space="preserve"> (</w:t>
      </w:r>
      <w:proofErr w:type="spellStart"/>
      <w:r>
        <w:rPr>
          <w:lang w:val="fr-FR"/>
        </w:rPr>
        <w:t>presize</w:t>
      </w:r>
      <w:proofErr w:type="spellEnd"/>
      <w:r>
        <w:rPr>
          <w:lang w:val="fr-FR"/>
        </w:rPr>
        <w:t>)</w:t>
      </w:r>
      <w:r w:rsidRPr="00963CA3">
        <w:rPr>
          <w:lang w:val="fr-FR"/>
        </w:rPr>
        <w:t xml:space="preserve"> ⃝   </w:t>
      </w:r>
    </w:p>
    <w:p w:rsidR="00A223B7" w:rsidRDefault="00A223B7" w:rsidP="00A223B7">
      <w:pPr>
        <w:rPr>
          <w:lang w:val="fr-FR"/>
        </w:rPr>
      </w:pPr>
    </w:p>
    <w:p w:rsidR="00A223B7" w:rsidRDefault="00A223B7" w:rsidP="00A223B7">
      <w:pPr>
        <w:rPr>
          <w:lang w:val="fr-FR"/>
        </w:rPr>
      </w:pPr>
      <w:r>
        <w:rPr>
          <w:lang w:val="fr-FR"/>
        </w:rPr>
        <w:t>XIX-</w:t>
      </w:r>
      <w:r w:rsidRPr="00011283">
        <w:rPr>
          <w:lang w:val="fr-FR"/>
        </w:rPr>
        <w:t xml:space="preserve">Ki </w:t>
      </w:r>
      <w:proofErr w:type="spellStart"/>
      <w:r w:rsidRPr="00011283">
        <w:rPr>
          <w:lang w:val="fr-FR"/>
        </w:rPr>
        <w:t>kote</w:t>
      </w:r>
      <w:proofErr w:type="spellEnd"/>
      <w:r w:rsidRPr="00011283">
        <w:rPr>
          <w:lang w:val="fr-FR"/>
        </w:rPr>
        <w:t xml:space="preserve"> ou t’</w:t>
      </w:r>
      <w:proofErr w:type="spellStart"/>
      <w:r w:rsidRPr="00011283">
        <w:rPr>
          <w:lang w:val="fr-FR"/>
        </w:rPr>
        <w:t>ap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viv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apre</w:t>
      </w:r>
      <w:proofErr w:type="spellEnd"/>
      <w:r w:rsidRPr="00011283">
        <w:rPr>
          <w:lang w:val="fr-FR"/>
        </w:rPr>
        <w:t xml:space="preserve"> </w:t>
      </w:r>
      <w:proofErr w:type="spellStart"/>
      <w:r w:rsidRPr="00011283">
        <w:rPr>
          <w:lang w:val="fr-FR"/>
        </w:rPr>
        <w:t>siklòn</w:t>
      </w:r>
      <w:proofErr w:type="spellEnd"/>
      <w:r w:rsidRPr="00011283">
        <w:rPr>
          <w:lang w:val="fr-FR"/>
        </w:rPr>
        <w:t xml:space="preserve"> nan ? </w:t>
      </w:r>
    </w:p>
    <w:p w:rsidR="00A223B7" w:rsidRDefault="00A223B7" w:rsidP="00A223B7">
      <w:r w:rsidRPr="002B63BE">
        <w:t>1. Nan k</w:t>
      </w:r>
      <w:r>
        <w:t xml:space="preserve">ay </w:t>
      </w:r>
      <w:proofErr w:type="spellStart"/>
      <w:r>
        <w:t>mwen</w:t>
      </w:r>
      <w:proofErr w:type="spellEnd"/>
      <w:r>
        <w:t xml:space="preserve"> (</w:t>
      </w:r>
      <w:proofErr w:type="spellStart"/>
      <w:r>
        <w:t>menm</w:t>
      </w:r>
      <w:proofErr w:type="spellEnd"/>
      <w:r>
        <w:t xml:space="preserve"> kay </w:t>
      </w:r>
      <w:proofErr w:type="spellStart"/>
      <w:r>
        <w:t>kote</w:t>
      </w:r>
      <w:proofErr w:type="spellEnd"/>
      <w:r>
        <w:t xml:space="preserve"> li ye a</w:t>
      </w:r>
      <w:r w:rsidRPr="002B63BE">
        <w:t xml:space="preserve"> </w:t>
      </w:r>
      <w:r>
        <w:t>⃝</w:t>
      </w:r>
      <w:r>
        <w:tab/>
      </w:r>
      <w:r>
        <w:tab/>
        <w:t xml:space="preserve"> 2. </w:t>
      </w:r>
      <w:proofErr w:type="spellStart"/>
      <w:r>
        <w:t>Ak</w:t>
      </w:r>
      <w:proofErr w:type="spellEnd"/>
      <w:r>
        <w:t xml:space="preserve"> </w:t>
      </w:r>
      <w:proofErr w:type="spellStart"/>
      <w:r>
        <w:t>fanmi</w:t>
      </w:r>
      <w:proofErr w:type="spellEnd"/>
      <w:r>
        <w:t>/</w:t>
      </w:r>
      <w:proofErr w:type="spellStart"/>
      <w:r>
        <w:t>zanmi</w:t>
      </w:r>
      <w:proofErr w:type="spellEnd"/>
      <w:r>
        <w:t xml:space="preserve"> ⃝ </w:t>
      </w:r>
    </w:p>
    <w:p w:rsidR="00A223B7" w:rsidRDefault="00A223B7" w:rsidP="00A223B7">
      <w:r>
        <w:t xml:space="preserve">3. Yon kay </w:t>
      </w:r>
      <w:proofErr w:type="spellStart"/>
      <w:r>
        <w:t>mwen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lwe</w:t>
      </w:r>
      <w:proofErr w:type="spellEnd"/>
      <w:r>
        <w:t xml:space="preserve"> ⃝ </w:t>
      </w:r>
      <w:r>
        <w:tab/>
      </w:r>
      <w:r>
        <w:tab/>
      </w:r>
      <w:r>
        <w:tab/>
      </w:r>
      <w:r>
        <w:tab/>
        <w:t xml:space="preserve">4. Nan yon </w:t>
      </w:r>
      <w:proofErr w:type="spellStart"/>
      <w:r>
        <w:t>sant</w:t>
      </w:r>
      <w:proofErr w:type="spellEnd"/>
      <w:r>
        <w:t xml:space="preserve"> </w:t>
      </w:r>
      <w:proofErr w:type="spellStart"/>
      <w:r>
        <w:t>evakiyasyon</w:t>
      </w:r>
      <w:proofErr w:type="spellEnd"/>
      <w:r>
        <w:t>/</w:t>
      </w:r>
      <w:proofErr w:type="spellStart"/>
      <w:r>
        <w:t>sant</w:t>
      </w:r>
      <w:proofErr w:type="spellEnd"/>
      <w:r>
        <w:t xml:space="preserve"> </w:t>
      </w:r>
      <w:proofErr w:type="spellStart"/>
      <w:r>
        <w:t>kolektif</w:t>
      </w:r>
      <w:proofErr w:type="spellEnd"/>
      <w:r>
        <w:t xml:space="preserve"> ⃝</w:t>
      </w:r>
    </w:p>
    <w:p w:rsidR="00A223B7" w:rsidRDefault="00A223B7" w:rsidP="00A223B7"/>
    <w:p w:rsidR="00A223B7" w:rsidRDefault="00A223B7" w:rsidP="00A223B7">
      <w:r>
        <w:t>X-</w:t>
      </w:r>
      <w:proofErr w:type="spellStart"/>
      <w:r>
        <w:t>Kòmantè</w:t>
      </w:r>
      <w:proofErr w:type="spellEnd"/>
      <w:r>
        <w:t xml:space="preserve"> </w:t>
      </w:r>
      <w:proofErr w:type="spellStart"/>
      <w:r>
        <w:t>Anketè</w:t>
      </w:r>
      <w:proofErr w:type="spellEnd"/>
      <w:r>
        <w:t xml:space="preserve"> a.</w:t>
      </w:r>
    </w:p>
    <w:p w:rsidR="00A223B7" w:rsidRDefault="00A223B7" w:rsidP="00A223B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223B7" w:rsidRDefault="00A223B7" w:rsidP="00A223B7"/>
    <w:p w:rsidR="00A223B7" w:rsidRPr="004376FD" w:rsidRDefault="00A223B7" w:rsidP="00A223B7"/>
    <w:p w:rsidR="00A223B7" w:rsidRPr="00B46B28" w:rsidRDefault="00A223B7" w:rsidP="0044209B">
      <w:pPr>
        <w:spacing w:line="360" w:lineRule="auto"/>
        <w:jc w:val="both"/>
        <w:rPr>
          <w:rFonts w:ascii="Times New Roman" w:hAnsi="Times New Roman"/>
          <w:caps/>
          <w:sz w:val="24"/>
          <w:szCs w:val="24"/>
          <w:lang w:val="fr-FR"/>
        </w:rPr>
      </w:pPr>
    </w:p>
    <w:sectPr w:rsidR="00A223B7" w:rsidRPr="00B46B28" w:rsidSect="005C5F6C">
      <w:footerReference w:type="defaul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00" w:rsidRDefault="00321800" w:rsidP="00836316">
      <w:pPr>
        <w:spacing w:after="0" w:line="240" w:lineRule="auto"/>
      </w:pPr>
      <w:r>
        <w:separator/>
      </w:r>
    </w:p>
  </w:endnote>
  <w:endnote w:type="continuationSeparator" w:id="0">
    <w:p w:rsidR="00321800" w:rsidRDefault="00321800" w:rsidP="0083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Leelawadee">
    <w:altName w:val="Sukhumvit Set"/>
    <w:charset w:val="00"/>
    <w:family w:val="swiss"/>
    <w:pitch w:val="variable"/>
    <w:sig w:usb0="01000003" w:usb1="00000000" w:usb2="00000000" w:usb3="00000000" w:csb0="00010001" w:csb1="00000000"/>
  </w:font>
  <w:font w:name="Helvetic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54440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60EC" w:rsidRDefault="00EE60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09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E60EC" w:rsidRDefault="00EE60E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00" w:rsidRDefault="00321800" w:rsidP="00836316">
      <w:pPr>
        <w:spacing w:after="0" w:line="240" w:lineRule="auto"/>
      </w:pPr>
      <w:r>
        <w:separator/>
      </w:r>
    </w:p>
  </w:footnote>
  <w:footnote w:type="continuationSeparator" w:id="0">
    <w:p w:rsidR="00321800" w:rsidRDefault="00321800" w:rsidP="00836316">
      <w:pPr>
        <w:spacing w:after="0" w:line="240" w:lineRule="auto"/>
      </w:pPr>
      <w:r>
        <w:continuationSeparator/>
      </w:r>
    </w:p>
  </w:footnote>
  <w:footnote w:id="1">
    <w:p w:rsidR="00EE60EC" w:rsidRDefault="00EE60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5BD4">
        <w:rPr>
          <w:sz w:val="20"/>
          <w:szCs w:val="20"/>
        </w:rPr>
        <w:t>Catholic Relief Services</w:t>
      </w:r>
    </w:p>
  </w:footnote>
  <w:footnote w:id="2">
    <w:p w:rsidR="00EE60EC" w:rsidRDefault="00EE60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D5BD4">
        <w:rPr>
          <w:rStyle w:val="Emphasis"/>
          <w:rFonts w:ascii="Times New Roman" w:hAnsi="Times New Roman" w:cs="Times New Roman"/>
          <w:i w:val="0"/>
          <w:sz w:val="20"/>
          <w:szCs w:val="20"/>
        </w:rPr>
        <w:t>Office for the Coordination of Humanitarian Affairs</w:t>
      </w:r>
    </w:p>
  </w:footnote>
  <w:footnote w:id="3">
    <w:p w:rsidR="00EE60EC" w:rsidRDefault="00EE60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5D788F">
        <w:rPr>
          <w:sz w:val="20"/>
          <w:szCs w:val="20"/>
        </w:rPr>
        <w:t>Voir</w:t>
      </w:r>
      <w:proofErr w:type="spellEnd"/>
      <w:r w:rsidRPr="005D788F">
        <w:rPr>
          <w:sz w:val="20"/>
          <w:szCs w:val="20"/>
        </w:rPr>
        <w:t xml:space="preserve"> </w:t>
      </w:r>
      <w:proofErr w:type="spellStart"/>
      <w:r w:rsidRPr="005D788F">
        <w:rPr>
          <w:sz w:val="20"/>
          <w:szCs w:val="20"/>
        </w:rPr>
        <w:t>dans</w:t>
      </w:r>
      <w:proofErr w:type="spellEnd"/>
      <w:r w:rsidRPr="005D788F">
        <w:rPr>
          <w:sz w:val="20"/>
          <w:szCs w:val="20"/>
        </w:rPr>
        <w:t xml:space="preserve"> </w:t>
      </w:r>
      <w:proofErr w:type="spellStart"/>
      <w:r w:rsidRPr="005D788F">
        <w:rPr>
          <w:sz w:val="20"/>
          <w:szCs w:val="20"/>
        </w:rPr>
        <w:t>l’annexe</w:t>
      </w:r>
      <w:proofErr w:type="spellEnd"/>
    </w:p>
  </w:footnote>
  <w:footnote w:id="4">
    <w:p w:rsidR="00EE60EC" w:rsidRDefault="00EE60E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788F">
        <w:rPr>
          <w:sz w:val="20"/>
          <w:szCs w:val="20"/>
        </w:rPr>
        <w:t>International Organization for Migration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3CB3"/>
    <w:multiLevelType w:val="hybridMultilevel"/>
    <w:tmpl w:val="1D84B3BA"/>
    <w:lvl w:ilvl="0" w:tplc="45764D40">
      <w:start w:val="1"/>
      <w:numFmt w:val="decimal"/>
      <w:lvlText w:val="%1)"/>
      <w:lvlJc w:val="left"/>
      <w:pPr>
        <w:ind w:left="1032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52" w:hanging="360"/>
      </w:pPr>
    </w:lvl>
    <w:lvl w:ilvl="2" w:tplc="040C001B" w:tentative="1">
      <w:start w:val="1"/>
      <w:numFmt w:val="lowerRoman"/>
      <w:lvlText w:val="%3."/>
      <w:lvlJc w:val="right"/>
      <w:pPr>
        <w:ind w:left="2472" w:hanging="180"/>
      </w:pPr>
    </w:lvl>
    <w:lvl w:ilvl="3" w:tplc="040C000F" w:tentative="1">
      <w:start w:val="1"/>
      <w:numFmt w:val="decimal"/>
      <w:lvlText w:val="%4."/>
      <w:lvlJc w:val="left"/>
      <w:pPr>
        <w:ind w:left="3192" w:hanging="360"/>
      </w:pPr>
    </w:lvl>
    <w:lvl w:ilvl="4" w:tplc="040C0019" w:tentative="1">
      <w:start w:val="1"/>
      <w:numFmt w:val="lowerLetter"/>
      <w:lvlText w:val="%5."/>
      <w:lvlJc w:val="left"/>
      <w:pPr>
        <w:ind w:left="3912" w:hanging="360"/>
      </w:pPr>
    </w:lvl>
    <w:lvl w:ilvl="5" w:tplc="040C001B" w:tentative="1">
      <w:start w:val="1"/>
      <w:numFmt w:val="lowerRoman"/>
      <w:lvlText w:val="%6."/>
      <w:lvlJc w:val="right"/>
      <w:pPr>
        <w:ind w:left="4632" w:hanging="180"/>
      </w:pPr>
    </w:lvl>
    <w:lvl w:ilvl="6" w:tplc="040C000F" w:tentative="1">
      <w:start w:val="1"/>
      <w:numFmt w:val="decimal"/>
      <w:lvlText w:val="%7."/>
      <w:lvlJc w:val="left"/>
      <w:pPr>
        <w:ind w:left="5352" w:hanging="360"/>
      </w:pPr>
    </w:lvl>
    <w:lvl w:ilvl="7" w:tplc="040C0019" w:tentative="1">
      <w:start w:val="1"/>
      <w:numFmt w:val="lowerLetter"/>
      <w:lvlText w:val="%8."/>
      <w:lvlJc w:val="left"/>
      <w:pPr>
        <w:ind w:left="6072" w:hanging="360"/>
      </w:pPr>
    </w:lvl>
    <w:lvl w:ilvl="8" w:tplc="040C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">
    <w:nsid w:val="1AE8625D"/>
    <w:multiLevelType w:val="hybridMultilevel"/>
    <w:tmpl w:val="11D6B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E4526"/>
    <w:multiLevelType w:val="multilevel"/>
    <w:tmpl w:val="D5ACA51C"/>
    <w:lvl w:ilvl="0"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>
    <w:nsid w:val="234A0B8A"/>
    <w:multiLevelType w:val="hybridMultilevel"/>
    <w:tmpl w:val="D5A491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B0EF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D17262C"/>
    <w:multiLevelType w:val="hybridMultilevel"/>
    <w:tmpl w:val="4CC0E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D5669"/>
    <w:multiLevelType w:val="multilevel"/>
    <w:tmpl w:val="02E8D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534C57FD"/>
    <w:multiLevelType w:val="multilevel"/>
    <w:tmpl w:val="7CFEA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82"/>
    <w:rsid w:val="00002288"/>
    <w:rsid w:val="00013EE7"/>
    <w:rsid w:val="00033236"/>
    <w:rsid w:val="000377FD"/>
    <w:rsid w:val="00040809"/>
    <w:rsid w:val="000472D6"/>
    <w:rsid w:val="000566C0"/>
    <w:rsid w:val="00057C12"/>
    <w:rsid w:val="00065F3F"/>
    <w:rsid w:val="00086F93"/>
    <w:rsid w:val="000972E1"/>
    <w:rsid w:val="000B516C"/>
    <w:rsid w:val="000C196A"/>
    <w:rsid w:val="000C23FA"/>
    <w:rsid w:val="000D5F7F"/>
    <w:rsid w:val="000D654A"/>
    <w:rsid w:val="001011DB"/>
    <w:rsid w:val="00107ACD"/>
    <w:rsid w:val="0012199D"/>
    <w:rsid w:val="001317D3"/>
    <w:rsid w:val="00145472"/>
    <w:rsid w:val="00146465"/>
    <w:rsid w:val="0015442C"/>
    <w:rsid w:val="00160ABA"/>
    <w:rsid w:val="001666CE"/>
    <w:rsid w:val="0018570D"/>
    <w:rsid w:val="001A71D6"/>
    <w:rsid w:val="001B17D8"/>
    <w:rsid w:val="00204979"/>
    <w:rsid w:val="00211E9C"/>
    <w:rsid w:val="002123F2"/>
    <w:rsid w:val="00220BA3"/>
    <w:rsid w:val="002327E8"/>
    <w:rsid w:val="00233D9A"/>
    <w:rsid w:val="00234F8B"/>
    <w:rsid w:val="0023525F"/>
    <w:rsid w:val="0025102E"/>
    <w:rsid w:val="00255933"/>
    <w:rsid w:val="002577D3"/>
    <w:rsid w:val="00260DC8"/>
    <w:rsid w:val="00265DD7"/>
    <w:rsid w:val="0027579A"/>
    <w:rsid w:val="00283215"/>
    <w:rsid w:val="00294A61"/>
    <w:rsid w:val="00294E4E"/>
    <w:rsid w:val="002A2CC2"/>
    <w:rsid w:val="002A33A6"/>
    <w:rsid w:val="002A4A3E"/>
    <w:rsid w:val="002A79F5"/>
    <w:rsid w:val="002B5390"/>
    <w:rsid w:val="002B6D01"/>
    <w:rsid w:val="002C5AA2"/>
    <w:rsid w:val="002D42A6"/>
    <w:rsid w:val="002E7568"/>
    <w:rsid w:val="00302680"/>
    <w:rsid w:val="00311642"/>
    <w:rsid w:val="003163AD"/>
    <w:rsid w:val="00321800"/>
    <w:rsid w:val="00322FD9"/>
    <w:rsid w:val="00354ACD"/>
    <w:rsid w:val="00365464"/>
    <w:rsid w:val="0037368A"/>
    <w:rsid w:val="00380301"/>
    <w:rsid w:val="00391F40"/>
    <w:rsid w:val="003B1369"/>
    <w:rsid w:val="003B4B40"/>
    <w:rsid w:val="003C4F83"/>
    <w:rsid w:val="003E527D"/>
    <w:rsid w:val="003F33B8"/>
    <w:rsid w:val="003F6EAA"/>
    <w:rsid w:val="004020F3"/>
    <w:rsid w:val="00405076"/>
    <w:rsid w:val="0041124C"/>
    <w:rsid w:val="004277AE"/>
    <w:rsid w:val="0044209B"/>
    <w:rsid w:val="0044273C"/>
    <w:rsid w:val="004457E9"/>
    <w:rsid w:val="004476BD"/>
    <w:rsid w:val="0047160F"/>
    <w:rsid w:val="00474ABD"/>
    <w:rsid w:val="004753A4"/>
    <w:rsid w:val="004764EE"/>
    <w:rsid w:val="0048052D"/>
    <w:rsid w:val="0048156A"/>
    <w:rsid w:val="00483082"/>
    <w:rsid w:val="004B255E"/>
    <w:rsid w:val="004B4826"/>
    <w:rsid w:val="004C3CB4"/>
    <w:rsid w:val="004D0382"/>
    <w:rsid w:val="004F0858"/>
    <w:rsid w:val="004F1462"/>
    <w:rsid w:val="004F3ACD"/>
    <w:rsid w:val="004F4F81"/>
    <w:rsid w:val="004F6937"/>
    <w:rsid w:val="005044B2"/>
    <w:rsid w:val="00514540"/>
    <w:rsid w:val="00516B0B"/>
    <w:rsid w:val="005301BE"/>
    <w:rsid w:val="00533BE4"/>
    <w:rsid w:val="0053442F"/>
    <w:rsid w:val="00552DED"/>
    <w:rsid w:val="005600C5"/>
    <w:rsid w:val="00566272"/>
    <w:rsid w:val="00571780"/>
    <w:rsid w:val="00571D25"/>
    <w:rsid w:val="0057411D"/>
    <w:rsid w:val="00575458"/>
    <w:rsid w:val="00577A1A"/>
    <w:rsid w:val="00595740"/>
    <w:rsid w:val="005A1D8C"/>
    <w:rsid w:val="005A280C"/>
    <w:rsid w:val="005A3ADB"/>
    <w:rsid w:val="005A7F3C"/>
    <w:rsid w:val="005C2F97"/>
    <w:rsid w:val="005C4674"/>
    <w:rsid w:val="005C5F6C"/>
    <w:rsid w:val="005D11E5"/>
    <w:rsid w:val="005D73FD"/>
    <w:rsid w:val="005D788F"/>
    <w:rsid w:val="005E0239"/>
    <w:rsid w:val="005E039F"/>
    <w:rsid w:val="005E0440"/>
    <w:rsid w:val="005E68F4"/>
    <w:rsid w:val="005F5DF6"/>
    <w:rsid w:val="005F6FCF"/>
    <w:rsid w:val="00601BB9"/>
    <w:rsid w:val="00605640"/>
    <w:rsid w:val="006114DE"/>
    <w:rsid w:val="0061509A"/>
    <w:rsid w:val="00626792"/>
    <w:rsid w:val="00632BFC"/>
    <w:rsid w:val="00633848"/>
    <w:rsid w:val="00646D5A"/>
    <w:rsid w:val="00655C40"/>
    <w:rsid w:val="00675787"/>
    <w:rsid w:val="00684E27"/>
    <w:rsid w:val="006861A3"/>
    <w:rsid w:val="00694BA3"/>
    <w:rsid w:val="0069589A"/>
    <w:rsid w:val="006C683E"/>
    <w:rsid w:val="006D45FA"/>
    <w:rsid w:val="006D67A8"/>
    <w:rsid w:val="006E2722"/>
    <w:rsid w:val="006E30F3"/>
    <w:rsid w:val="006E3DCF"/>
    <w:rsid w:val="006E53F4"/>
    <w:rsid w:val="006F07C6"/>
    <w:rsid w:val="007017F7"/>
    <w:rsid w:val="00707ECD"/>
    <w:rsid w:val="00711C3B"/>
    <w:rsid w:val="007146B1"/>
    <w:rsid w:val="00717E2B"/>
    <w:rsid w:val="00720096"/>
    <w:rsid w:val="007347EF"/>
    <w:rsid w:val="0074227E"/>
    <w:rsid w:val="00760E89"/>
    <w:rsid w:val="0076450A"/>
    <w:rsid w:val="00767171"/>
    <w:rsid w:val="007672AF"/>
    <w:rsid w:val="00772583"/>
    <w:rsid w:val="00775A25"/>
    <w:rsid w:val="00776750"/>
    <w:rsid w:val="00777646"/>
    <w:rsid w:val="00797A78"/>
    <w:rsid w:val="007A08E4"/>
    <w:rsid w:val="007A4721"/>
    <w:rsid w:val="007A62B3"/>
    <w:rsid w:val="007B38DC"/>
    <w:rsid w:val="007C0564"/>
    <w:rsid w:val="007D3172"/>
    <w:rsid w:val="007D3C92"/>
    <w:rsid w:val="007D6338"/>
    <w:rsid w:val="007D7F8A"/>
    <w:rsid w:val="007E1C4D"/>
    <w:rsid w:val="007F076D"/>
    <w:rsid w:val="007F1967"/>
    <w:rsid w:val="007F3F83"/>
    <w:rsid w:val="007F7428"/>
    <w:rsid w:val="00802674"/>
    <w:rsid w:val="00803330"/>
    <w:rsid w:val="00813B6C"/>
    <w:rsid w:val="00814B0A"/>
    <w:rsid w:val="00815EA4"/>
    <w:rsid w:val="00817547"/>
    <w:rsid w:val="00832B20"/>
    <w:rsid w:val="008355BD"/>
    <w:rsid w:val="00836316"/>
    <w:rsid w:val="0084494B"/>
    <w:rsid w:val="008515C8"/>
    <w:rsid w:val="00853110"/>
    <w:rsid w:val="008531AB"/>
    <w:rsid w:val="00854103"/>
    <w:rsid w:val="00857DA0"/>
    <w:rsid w:val="00866ABD"/>
    <w:rsid w:val="00880AE6"/>
    <w:rsid w:val="00896E15"/>
    <w:rsid w:val="008A3B05"/>
    <w:rsid w:val="008A43C7"/>
    <w:rsid w:val="008A5D51"/>
    <w:rsid w:val="008A7A85"/>
    <w:rsid w:val="008B0365"/>
    <w:rsid w:val="008B16A8"/>
    <w:rsid w:val="008B3479"/>
    <w:rsid w:val="008D6BC3"/>
    <w:rsid w:val="008E7328"/>
    <w:rsid w:val="008F340E"/>
    <w:rsid w:val="0090216A"/>
    <w:rsid w:val="0091083E"/>
    <w:rsid w:val="00913282"/>
    <w:rsid w:val="009249B3"/>
    <w:rsid w:val="00926026"/>
    <w:rsid w:val="009263BB"/>
    <w:rsid w:val="0093359B"/>
    <w:rsid w:val="00942A00"/>
    <w:rsid w:val="00945DF4"/>
    <w:rsid w:val="009600BD"/>
    <w:rsid w:val="009672A8"/>
    <w:rsid w:val="00970AA8"/>
    <w:rsid w:val="009803ED"/>
    <w:rsid w:val="009823EE"/>
    <w:rsid w:val="009864E9"/>
    <w:rsid w:val="00986775"/>
    <w:rsid w:val="0099125D"/>
    <w:rsid w:val="009922E4"/>
    <w:rsid w:val="009B7A7B"/>
    <w:rsid w:val="009D5550"/>
    <w:rsid w:val="009E2306"/>
    <w:rsid w:val="009F304A"/>
    <w:rsid w:val="00A02271"/>
    <w:rsid w:val="00A057F4"/>
    <w:rsid w:val="00A1482B"/>
    <w:rsid w:val="00A153FF"/>
    <w:rsid w:val="00A2164D"/>
    <w:rsid w:val="00A217B9"/>
    <w:rsid w:val="00A22370"/>
    <w:rsid w:val="00A223B7"/>
    <w:rsid w:val="00A24218"/>
    <w:rsid w:val="00A324CB"/>
    <w:rsid w:val="00A37425"/>
    <w:rsid w:val="00A41AC8"/>
    <w:rsid w:val="00A44BFC"/>
    <w:rsid w:val="00A45999"/>
    <w:rsid w:val="00A45A62"/>
    <w:rsid w:val="00A55312"/>
    <w:rsid w:val="00A5727E"/>
    <w:rsid w:val="00A731E9"/>
    <w:rsid w:val="00A81B6E"/>
    <w:rsid w:val="00AA3467"/>
    <w:rsid w:val="00AA5904"/>
    <w:rsid w:val="00AA6354"/>
    <w:rsid w:val="00AC56E1"/>
    <w:rsid w:val="00AD31B8"/>
    <w:rsid w:val="00AD7E50"/>
    <w:rsid w:val="00AE0BBA"/>
    <w:rsid w:val="00AE1D45"/>
    <w:rsid w:val="00AF039E"/>
    <w:rsid w:val="00B05E59"/>
    <w:rsid w:val="00B20EAF"/>
    <w:rsid w:val="00B24234"/>
    <w:rsid w:val="00B3279C"/>
    <w:rsid w:val="00B42B6B"/>
    <w:rsid w:val="00B4391E"/>
    <w:rsid w:val="00B46B28"/>
    <w:rsid w:val="00B61743"/>
    <w:rsid w:val="00B67EF2"/>
    <w:rsid w:val="00B7072A"/>
    <w:rsid w:val="00B93AF7"/>
    <w:rsid w:val="00BA7B0C"/>
    <w:rsid w:val="00BB0425"/>
    <w:rsid w:val="00BB29E5"/>
    <w:rsid w:val="00BB2B16"/>
    <w:rsid w:val="00BB33D5"/>
    <w:rsid w:val="00BB370C"/>
    <w:rsid w:val="00BB4BF5"/>
    <w:rsid w:val="00BB5ACE"/>
    <w:rsid w:val="00BB7DB4"/>
    <w:rsid w:val="00BC0A5C"/>
    <w:rsid w:val="00BD4F15"/>
    <w:rsid w:val="00BE37D9"/>
    <w:rsid w:val="00BE60AA"/>
    <w:rsid w:val="00BF0778"/>
    <w:rsid w:val="00BF4E1E"/>
    <w:rsid w:val="00C00423"/>
    <w:rsid w:val="00C15710"/>
    <w:rsid w:val="00C23475"/>
    <w:rsid w:val="00C378AB"/>
    <w:rsid w:val="00C40DAC"/>
    <w:rsid w:val="00C45636"/>
    <w:rsid w:val="00C52E51"/>
    <w:rsid w:val="00C54C88"/>
    <w:rsid w:val="00C61FE7"/>
    <w:rsid w:val="00C760FB"/>
    <w:rsid w:val="00C81F80"/>
    <w:rsid w:val="00CA0478"/>
    <w:rsid w:val="00CA196A"/>
    <w:rsid w:val="00CA70F8"/>
    <w:rsid w:val="00CB15FE"/>
    <w:rsid w:val="00CC12E1"/>
    <w:rsid w:val="00CD5BD4"/>
    <w:rsid w:val="00CD67DF"/>
    <w:rsid w:val="00CE5BD8"/>
    <w:rsid w:val="00CF362E"/>
    <w:rsid w:val="00CF55D4"/>
    <w:rsid w:val="00D01C73"/>
    <w:rsid w:val="00D01DAA"/>
    <w:rsid w:val="00D13BCE"/>
    <w:rsid w:val="00D20F06"/>
    <w:rsid w:val="00D25EDF"/>
    <w:rsid w:val="00D26972"/>
    <w:rsid w:val="00D4155F"/>
    <w:rsid w:val="00D5091A"/>
    <w:rsid w:val="00D6468F"/>
    <w:rsid w:val="00D77CF7"/>
    <w:rsid w:val="00D80ADA"/>
    <w:rsid w:val="00D94383"/>
    <w:rsid w:val="00D97406"/>
    <w:rsid w:val="00DA58F8"/>
    <w:rsid w:val="00DB26FE"/>
    <w:rsid w:val="00DB307D"/>
    <w:rsid w:val="00DB4332"/>
    <w:rsid w:val="00DB63F1"/>
    <w:rsid w:val="00DC2EEA"/>
    <w:rsid w:val="00DC6B29"/>
    <w:rsid w:val="00DC796E"/>
    <w:rsid w:val="00DD3F53"/>
    <w:rsid w:val="00DE33FB"/>
    <w:rsid w:val="00DE34E0"/>
    <w:rsid w:val="00DE5779"/>
    <w:rsid w:val="00E001F3"/>
    <w:rsid w:val="00E047E9"/>
    <w:rsid w:val="00E10504"/>
    <w:rsid w:val="00E112CC"/>
    <w:rsid w:val="00E11C83"/>
    <w:rsid w:val="00E21A87"/>
    <w:rsid w:val="00E23DFC"/>
    <w:rsid w:val="00E247FE"/>
    <w:rsid w:val="00E26D53"/>
    <w:rsid w:val="00E34BEE"/>
    <w:rsid w:val="00E36DA4"/>
    <w:rsid w:val="00E37BE1"/>
    <w:rsid w:val="00E424DC"/>
    <w:rsid w:val="00E425D2"/>
    <w:rsid w:val="00E565B7"/>
    <w:rsid w:val="00E607E4"/>
    <w:rsid w:val="00E7384D"/>
    <w:rsid w:val="00E81386"/>
    <w:rsid w:val="00E82092"/>
    <w:rsid w:val="00E87C37"/>
    <w:rsid w:val="00E915AD"/>
    <w:rsid w:val="00EA1A4E"/>
    <w:rsid w:val="00EA4BE8"/>
    <w:rsid w:val="00EB160E"/>
    <w:rsid w:val="00EB25CE"/>
    <w:rsid w:val="00EB2788"/>
    <w:rsid w:val="00EB29B9"/>
    <w:rsid w:val="00EC1B59"/>
    <w:rsid w:val="00EC313F"/>
    <w:rsid w:val="00EC5B00"/>
    <w:rsid w:val="00ED0C90"/>
    <w:rsid w:val="00ED195D"/>
    <w:rsid w:val="00ED4049"/>
    <w:rsid w:val="00EE60EC"/>
    <w:rsid w:val="00EF27AE"/>
    <w:rsid w:val="00EF5C91"/>
    <w:rsid w:val="00EF5FF6"/>
    <w:rsid w:val="00EF75A4"/>
    <w:rsid w:val="00F04857"/>
    <w:rsid w:val="00F06E8D"/>
    <w:rsid w:val="00F12A81"/>
    <w:rsid w:val="00F20537"/>
    <w:rsid w:val="00F22982"/>
    <w:rsid w:val="00F24FDC"/>
    <w:rsid w:val="00F2614F"/>
    <w:rsid w:val="00F340EA"/>
    <w:rsid w:val="00F4182C"/>
    <w:rsid w:val="00F442CF"/>
    <w:rsid w:val="00F52485"/>
    <w:rsid w:val="00F6329F"/>
    <w:rsid w:val="00F7024D"/>
    <w:rsid w:val="00F754A5"/>
    <w:rsid w:val="00FA4DB5"/>
    <w:rsid w:val="00FB451A"/>
    <w:rsid w:val="00FB4A6E"/>
    <w:rsid w:val="00FC5C20"/>
    <w:rsid w:val="00FD1361"/>
    <w:rsid w:val="00FD1603"/>
    <w:rsid w:val="00FE3352"/>
    <w:rsid w:val="00FE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4F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76450A"/>
    <w:pPr>
      <w:spacing w:before="200" w:after="0" w:line="271" w:lineRule="auto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36316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36316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363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5B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6450A"/>
    <w:rPr>
      <w:rFonts w:ascii="Cambria" w:eastAsia="Times New Roman" w:hAnsi="Cambria" w:cs="Times New Roman"/>
      <w:i/>
      <w:iCs/>
      <w:smallCaps/>
      <w:spacing w:val="5"/>
      <w:sz w:val="26"/>
      <w:szCs w:val="2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F261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61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6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1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4F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8449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F4F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F4F8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F4F81"/>
    <w:pPr>
      <w:spacing w:before="360" w:after="0" w:line="276" w:lineRule="auto"/>
    </w:pPr>
    <w:rPr>
      <w:rFonts w:ascii="Cambria" w:eastAsia="Calibri" w:hAnsi="Cambria" w:cs="Times New Roman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F4F81"/>
    <w:pPr>
      <w:spacing w:before="240" w:after="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4F4F81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rsid w:val="004F4F81"/>
  </w:style>
  <w:style w:type="paragraph" w:styleId="Header">
    <w:name w:val="header"/>
    <w:basedOn w:val="Normal"/>
    <w:link w:val="HeaderChar"/>
    <w:uiPriority w:val="99"/>
    <w:unhideWhenUsed/>
    <w:rsid w:val="005C5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F6C"/>
  </w:style>
  <w:style w:type="paragraph" w:styleId="Footer">
    <w:name w:val="footer"/>
    <w:basedOn w:val="Normal"/>
    <w:link w:val="FooterChar"/>
    <w:uiPriority w:val="99"/>
    <w:unhideWhenUsed/>
    <w:rsid w:val="005C5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F6C"/>
  </w:style>
  <w:style w:type="table" w:styleId="TableGrid">
    <w:name w:val="Table Grid"/>
    <w:basedOn w:val="TableNormal"/>
    <w:uiPriority w:val="39"/>
    <w:rsid w:val="00F2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6627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4F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76450A"/>
    <w:pPr>
      <w:spacing w:before="200" w:after="0" w:line="271" w:lineRule="auto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836316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36316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363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5B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6450A"/>
    <w:rPr>
      <w:rFonts w:ascii="Cambria" w:eastAsia="Times New Roman" w:hAnsi="Cambria" w:cs="Times New Roman"/>
      <w:i/>
      <w:iCs/>
      <w:smallCaps/>
      <w:spacing w:val="5"/>
      <w:sz w:val="26"/>
      <w:szCs w:val="2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F261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61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61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1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1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4F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8449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F4F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F4F8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4F4F81"/>
    <w:pPr>
      <w:spacing w:before="360" w:after="0" w:line="276" w:lineRule="auto"/>
    </w:pPr>
    <w:rPr>
      <w:rFonts w:ascii="Cambria" w:eastAsia="Calibri" w:hAnsi="Cambria" w:cs="Times New Roman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F4F81"/>
    <w:pPr>
      <w:spacing w:before="240" w:after="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4F4F81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rsid w:val="004F4F81"/>
  </w:style>
  <w:style w:type="paragraph" w:styleId="Header">
    <w:name w:val="header"/>
    <w:basedOn w:val="Normal"/>
    <w:link w:val="HeaderChar"/>
    <w:uiPriority w:val="99"/>
    <w:unhideWhenUsed/>
    <w:rsid w:val="005C5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F6C"/>
  </w:style>
  <w:style w:type="paragraph" w:styleId="Footer">
    <w:name w:val="footer"/>
    <w:basedOn w:val="Normal"/>
    <w:link w:val="FooterChar"/>
    <w:uiPriority w:val="99"/>
    <w:unhideWhenUsed/>
    <w:rsid w:val="005C5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F6C"/>
  </w:style>
  <w:style w:type="table" w:styleId="TableGrid">
    <w:name w:val="Table Grid"/>
    <w:basedOn w:val="TableNormal"/>
    <w:uiPriority w:val="39"/>
    <w:rsid w:val="00F24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662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chart" Target="charts/chart1.xml"/><Relationship Id="rId11" Type="http://schemas.openxmlformats.org/officeDocument/2006/relationships/chart" Target="charts/chart2.xml"/><Relationship Id="rId12" Type="http://schemas.openxmlformats.org/officeDocument/2006/relationships/chart" Target="charts/chart3.xml"/><Relationship Id="rId13" Type="http://schemas.openxmlformats.org/officeDocument/2006/relationships/chart" Target="charts/chart4.xml"/><Relationship Id="rId14" Type="http://schemas.openxmlformats.org/officeDocument/2006/relationships/chart" Target="charts/chart5.xml"/><Relationship Id="rId15" Type="http://schemas.openxmlformats.org/officeDocument/2006/relationships/chart" Target="charts/chart6.xml"/><Relationship Id="rId16" Type="http://schemas.openxmlformats.org/officeDocument/2006/relationships/chart" Target="charts/chart7.xml"/><Relationship Id="rId17" Type="http://schemas.openxmlformats.org/officeDocument/2006/relationships/chart" Target="charts/chart8.xml"/><Relationship Id="rId18" Type="http://schemas.openxmlformats.org/officeDocument/2006/relationships/image" Target="media/image2.emf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taylor\Documents\CRS-Haiti\CRS-Salvage%20to%20Shelter\Donnees%20du%20mois%20d'Aout%202017\fomile_anket_mache_lokasyon_final.xls-Bne%20version.xls-modifie.xls" TargetMode="External"/><Relationship Id="rId2" Type="http://schemas.microsoft.com/office/2011/relationships/chartStyle" Target="style1.xml"/><Relationship Id="rId3" Type="http://schemas.microsoft.com/office/2011/relationships/chartColorStyle" Target="colors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3.xlsx"/><Relationship Id="rId2" Type="http://schemas.microsoft.com/office/2011/relationships/chartStyle" Target="style2.xml"/><Relationship Id="rId3" Type="http://schemas.microsoft.com/office/2011/relationships/chartColorStyle" Target="colors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4.xlsx"/><Relationship Id="rId2" Type="http://schemas.microsoft.com/office/2011/relationships/chartStyle" Target="style3.xml"/><Relationship Id="rId3" Type="http://schemas.microsoft.com/office/2011/relationships/chartColorStyle" Target="colors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taylor\Documents\CRS-Haiti\CRS-Salvage%20to%20Shelter\Donnees%20du%20mois%20d'Aout%202017\fomile_anket_mache_lokasyon_final.xls-Bne%20version.xls" TargetMode="External"/><Relationship Id="rId2" Type="http://schemas.microsoft.com/office/2011/relationships/chartStyle" Target="style4.xml"/><Relationship Id="rId3" Type="http://schemas.microsoft.com/office/2011/relationships/chartColorStyle" Target="colors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5.xlsx"/><Relationship Id="rId2" Type="http://schemas.microsoft.com/office/2011/relationships/chartStyle" Target="style5.xml"/><Relationship Id="rId3" Type="http://schemas.microsoft.com/office/2011/relationships/chartColorStyle" Target="colors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6.xlsx"/><Relationship Id="rId2" Type="http://schemas.microsoft.com/office/2011/relationships/chartStyle" Target="style6.xml"/><Relationship Id="rId3" Type="http://schemas.microsoft.com/office/2011/relationships/chartColorStyle" Target="colors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solidFill>
          <a:schemeClr val="accent3">
            <a:lumMod val="20000"/>
            <a:lumOff val="8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Repport!$D$2:$D$3</c:f>
              <c:strCache>
                <c:ptCount val="2"/>
                <c:pt idx="0">
                  <c:v>Nombre de propriétaires et locataires interrogés par zone</c:v>
                </c:pt>
                <c:pt idx="1">
                  <c:v>Quantité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accent3">
                  <a:lumMod val="20000"/>
                  <a:lumOff val="8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Repport!$C$4:$C$7</c:f>
              <c:strCache>
                <c:ptCount val="4"/>
                <c:pt idx="0">
                  <c:v>2eme section Anse-à-Brique</c:v>
                </c:pt>
                <c:pt idx="1">
                  <c:v>3eme section Obri</c:v>
                </c:pt>
                <c:pt idx="2">
                  <c:v>4eme section Barbois</c:v>
                </c:pt>
                <c:pt idx="3">
                  <c:v>5eme section Dumont</c:v>
                </c:pt>
              </c:strCache>
            </c:strRef>
          </c:cat>
          <c:val>
            <c:numRef>
              <c:f>Repport!$D$4:$D$7</c:f>
              <c:numCache>
                <c:formatCode>General</c:formatCode>
                <c:ptCount val="4"/>
                <c:pt idx="0">
                  <c:v>26.0</c:v>
                </c:pt>
                <c:pt idx="1">
                  <c:v>54.0</c:v>
                </c:pt>
                <c:pt idx="2">
                  <c:v>52.0</c:v>
                </c:pt>
                <c:pt idx="3">
                  <c:v>23.0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E7D-43A3-832B-10DE9DF859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-2078837480"/>
        <c:axId val="-2078423256"/>
      </c:barChart>
      <c:catAx>
        <c:axId val="-2078837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8423256"/>
        <c:crosses val="autoZero"/>
        <c:auto val="1"/>
        <c:lblAlgn val="ctr"/>
        <c:lblOffset val="100"/>
        <c:noMultiLvlLbl val="0"/>
      </c:catAx>
      <c:valAx>
        <c:axId val="-20784232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88374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3">
        <a:lumMod val="40000"/>
        <a:lumOff val="6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Pourcentage</a:t>
            </a:r>
            <a:r>
              <a:rPr lang="en-US" baseline="0"/>
              <a:t> de locataire et propri</a:t>
            </a:r>
            <a:r>
              <a:rPr lang="en-US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étaire ineterviewés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135-47AB-AB0E-A3EF2520843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135-47AB-AB0E-A3EF25208433}"/>
              </c:ext>
            </c:extLst>
          </c:dPt>
          <c:dLbls>
            <c:spPr>
              <a:solidFill>
                <a:schemeClr val="bg2">
                  <a:lumMod val="9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multiLvlStrRef>
              <c:f>Repport!$B$4:$C$5</c:f>
              <c:multiLvlStrCache>
                <c:ptCount val="2"/>
                <c:lvl>
                  <c:pt idx="0">
                    <c:v>Locataire</c:v>
                  </c:pt>
                  <c:pt idx="1">
                    <c:v>Propriétaire</c:v>
                  </c:pt>
                </c:lvl>
                <c:lvl>
                  <c:pt idx="0">
                    <c:v>Repartition du pourcentage de locataires et propriétaires interviewés</c:v>
                  </c:pt>
                </c:lvl>
              </c:multiLvlStrCache>
            </c:multiLvlStrRef>
          </c:cat>
          <c:val>
            <c:numRef>
              <c:f>Repport!$B$6:$C$6</c:f>
              <c:numCache>
                <c:formatCode>0.00%</c:formatCode>
                <c:ptCount val="2"/>
                <c:pt idx="0">
                  <c:v>0.7032</c:v>
                </c:pt>
                <c:pt idx="1">
                  <c:v>0.2968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135-47AB-AB0E-A3EF252084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2">
        <a:lumMod val="9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Position</a:t>
            </a:r>
            <a:r>
              <a:rPr lang="en-US" b="1" baseline="0"/>
              <a:t> g</a:t>
            </a:r>
            <a:r>
              <a:rPr lang="en-US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éographique des maisons</a:t>
            </a:r>
            <a:endParaRPr lang="en-US" b="1"/>
          </a:p>
        </c:rich>
      </c:tx>
      <c:layout/>
      <c:overlay val="0"/>
      <c:spPr>
        <a:solidFill>
          <a:schemeClr val="tx2">
            <a:lumMod val="40000"/>
            <a:lumOff val="60000"/>
          </a:schemeClr>
        </a:solidFill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43C-4CF9-917F-3FE3808CDBB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43C-4CF9-917F-3FE3808CDBB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43C-4CF9-917F-3FE3808CDBB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43C-4CF9-917F-3FE3808CDBB3}"/>
              </c:ext>
            </c:extLst>
          </c:dPt>
          <c:dLbls>
            <c:spPr>
              <a:solidFill>
                <a:schemeClr val="bg2">
                  <a:lumMod val="75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Repport!$B$29:$E$29</c:f>
              <c:strCache>
                <c:ptCount val="4"/>
                <c:pt idx="0">
                  <c:v>Zone eloigné / à la campagne</c:v>
                </c:pt>
                <c:pt idx="1">
                  <c:v>Au bord de la route</c:v>
                </c:pt>
                <c:pt idx="2">
                  <c:v>Zone urbaine / Ville</c:v>
                </c:pt>
                <c:pt idx="3">
                  <c:v>Entre Ville et à la campagne</c:v>
                </c:pt>
              </c:strCache>
            </c:strRef>
          </c:cat>
          <c:val>
            <c:numRef>
              <c:f>Repport!$B$30:$E$30</c:f>
              <c:numCache>
                <c:formatCode>0.00%</c:formatCode>
                <c:ptCount val="4"/>
                <c:pt idx="0">
                  <c:v>0.0642</c:v>
                </c:pt>
                <c:pt idx="1">
                  <c:v>0.3227</c:v>
                </c:pt>
                <c:pt idx="2">
                  <c:v>0.3744</c:v>
                </c:pt>
                <c:pt idx="3">
                  <c:v>0.2387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843C-4CF9-917F-3FE3808CDB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2">
        <a:lumMod val="9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Prix</a:t>
            </a:r>
            <a:r>
              <a:rPr lang="en-US" b="1" baseline="0"/>
              <a:t> du loyer annuel par chambre</a:t>
            </a:r>
            <a:endParaRPr lang="en-US" b="1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Repport!$B$206:$B$208</c:f>
              <c:strCache>
                <c:ptCount val="3"/>
                <c:pt idx="0">
                  <c:v>Analyse de prix du loyer / année</c:v>
                </c:pt>
                <c:pt idx="1">
                  <c:v>Nombre de chambre</c:v>
                </c:pt>
                <c:pt idx="2">
                  <c:v>1 chambre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Repport!$A$209:$A$216</c:f>
              <c:strCache>
                <c:ptCount val="8"/>
                <c:pt idx="0">
                  <c:v>Entre 4000 à 9000 Gdes</c:v>
                </c:pt>
                <c:pt idx="1">
                  <c:v>Entre 9500 à 14500 gdes</c:v>
                </c:pt>
                <c:pt idx="2">
                  <c:v>Entre 15000 à 20000 Gdes</c:v>
                </c:pt>
                <c:pt idx="3">
                  <c:v>Entre 20500 à 25500 Gdes</c:v>
                </c:pt>
                <c:pt idx="4">
                  <c:v>Entre 26000 à 31000 Gdes</c:v>
                </c:pt>
                <c:pt idx="5">
                  <c:v>Entre 31500 à 36500 Gdes</c:v>
                </c:pt>
                <c:pt idx="6">
                  <c:v>Entre 37000 à 42000 Gdes</c:v>
                </c:pt>
                <c:pt idx="7">
                  <c:v>Entre 42500 Gdes et plus</c:v>
                </c:pt>
              </c:strCache>
            </c:strRef>
          </c:cat>
          <c:val>
            <c:numRef>
              <c:f>Repport!$B$209:$B$216</c:f>
              <c:numCache>
                <c:formatCode>General</c:formatCode>
                <c:ptCount val="8"/>
                <c:pt idx="0">
                  <c:v>8.0</c:v>
                </c:pt>
                <c:pt idx="1">
                  <c:v>4.0</c:v>
                </c:pt>
                <c:pt idx="2">
                  <c:v>11.0</c:v>
                </c:pt>
                <c:pt idx="3">
                  <c:v>1.0</c:v>
                </c:pt>
                <c:pt idx="4">
                  <c:v>2.0</c:v>
                </c:pt>
                <c:pt idx="5">
                  <c:v>0.0</c:v>
                </c:pt>
                <c:pt idx="6">
                  <c:v>0.0</c:v>
                </c:pt>
                <c:pt idx="7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BBD-44AB-A989-81B61744450D}"/>
            </c:ext>
          </c:extLst>
        </c:ser>
        <c:ser>
          <c:idx val="1"/>
          <c:order val="1"/>
          <c:tx>
            <c:strRef>
              <c:f>Repport!$C$206:$C$208</c:f>
              <c:strCache>
                <c:ptCount val="3"/>
                <c:pt idx="0">
                  <c:v>Analyse de prix du loyer / année</c:v>
                </c:pt>
                <c:pt idx="1">
                  <c:v>Nombre de chambre</c:v>
                </c:pt>
                <c:pt idx="2">
                  <c:v>2 chambres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Repport!$A$209:$A$216</c:f>
              <c:strCache>
                <c:ptCount val="8"/>
                <c:pt idx="0">
                  <c:v>Entre 4000 à 9000 Gdes</c:v>
                </c:pt>
                <c:pt idx="1">
                  <c:v>Entre 9500 à 14500 gdes</c:v>
                </c:pt>
                <c:pt idx="2">
                  <c:v>Entre 15000 à 20000 Gdes</c:v>
                </c:pt>
                <c:pt idx="3">
                  <c:v>Entre 20500 à 25500 Gdes</c:v>
                </c:pt>
                <c:pt idx="4">
                  <c:v>Entre 26000 à 31000 Gdes</c:v>
                </c:pt>
                <c:pt idx="5">
                  <c:v>Entre 31500 à 36500 Gdes</c:v>
                </c:pt>
                <c:pt idx="6">
                  <c:v>Entre 37000 à 42000 Gdes</c:v>
                </c:pt>
                <c:pt idx="7">
                  <c:v>Entre 42500 Gdes et plus</c:v>
                </c:pt>
              </c:strCache>
            </c:strRef>
          </c:cat>
          <c:val>
            <c:numRef>
              <c:f>Repport!$C$209:$C$216</c:f>
              <c:numCache>
                <c:formatCode>General</c:formatCode>
                <c:ptCount val="8"/>
                <c:pt idx="0">
                  <c:v>7.0</c:v>
                </c:pt>
                <c:pt idx="1">
                  <c:v>13.0</c:v>
                </c:pt>
                <c:pt idx="2">
                  <c:v>21.0</c:v>
                </c:pt>
                <c:pt idx="3">
                  <c:v>2.0</c:v>
                </c:pt>
                <c:pt idx="4">
                  <c:v>2.0</c:v>
                </c:pt>
                <c:pt idx="5">
                  <c:v>3.0</c:v>
                </c:pt>
                <c:pt idx="6">
                  <c:v>0.0</c:v>
                </c:pt>
                <c:pt idx="7">
                  <c:v>3.0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BBD-44AB-A989-81B61744450D}"/>
            </c:ext>
          </c:extLst>
        </c:ser>
        <c:ser>
          <c:idx val="2"/>
          <c:order val="2"/>
          <c:tx>
            <c:strRef>
              <c:f>Repport!$D$206:$D$208</c:f>
              <c:strCache>
                <c:ptCount val="3"/>
                <c:pt idx="0">
                  <c:v>Analyse de prix du loyer / année</c:v>
                </c:pt>
                <c:pt idx="1">
                  <c:v>Nombre de chambre</c:v>
                </c:pt>
                <c:pt idx="2">
                  <c:v>3 chambres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Repport!$A$209:$A$216</c:f>
              <c:strCache>
                <c:ptCount val="8"/>
                <c:pt idx="0">
                  <c:v>Entre 4000 à 9000 Gdes</c:v>
                </c:pt>
                <c:pt idx="1">
                  <c:v>Entre 9500 à 14500 gdes</c:v>
                </c:pt>
                <c:pt idx="2">
                  <c:v>Entre 15000 à 20000 Gdes</c:v>
                </c:pt>
                <c:pt idx="3">
                  <c:v>Entre 20500 à 25500 Gdes</c:v>
                </c:pt>
                <c:pt idx="4">
                  <c:v>Entre 26000 à 31000 Gdes</c:v>
                </c:pt>
                <c:pt idx="5">
                  <c:v>Entre 31500 à 36500 Gdes</c:v>
                </c:pt>
                <c:pt idx="6">
                  <c:v>Entre 37000 à 42000 Gdes</c:v>
                </c:pt>
                <c:pt idx="7">
                  <c:v>Entre 42500 Gdes et plus</c:v>
                </c:pt>
              </c:strCache>
            </c:strRef>
          </c:cat>
          <c:val>
            <c:numRef>
              <c:f>Repport!$D$209:$D$216</c:f>
              <c:numCache>
                <c:formatCode>General</c:formatCode>
                <c:ptCount val="8"/>
                <c:pt idx="0">
                  <c:v>3.0</c:v>
                </c:pt>
                <c:pt idx="1">
                  <c:v>5.0</c:v>
                </c:pt>
                <c:pt idx="2">
                  <c:v>10.0</c:v>
                </c:pt>
                <c:pt idx="3">
                  <c:v>0.0</c:v>
                </c:pt>
                <c:pt idx="4">
                  <c:v>3.0</c:v>
                </c:pt>
                <c:pt idx="5">
                  <c:v>0.0</c:v>
                </c:pt>
                <c:pt idx="6">
                  <c:v>2.0</c:v>
                </c:pt>
                <c:pt idx="7">
                  <c:v>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BBD-44AB-A989-81B61744450D}"/>
            </c:ext>
          </c:extLst>
        </c:ser>
        <c:ser>
          <c:idx val="3"/>
          <c:order val="3"/>
          <c:tx>
            <c:strRef>
              <c:f>Repport!$E$206:$E$208</c:f>
              <c:strCache>
                <c:ptCount val="3"/>
                <c:pt idx="0">
                  <c:v>Analyse de prix du loyer / année</c:v>
                </c:pt>
                <c:pt idx="1">
                  <c:v>Nombre de chambre</c:v>
                </c:pt>
                <c:pt idx="2">
                  <c:v>4 chambres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Repport!$A$209:$A$216</c:f>
              <c:strCache>
                <c:ptCount val="8"/>
                <c:pt idx="0">
                  <c:v>Entre 4000 à 9000 Gdes</c:v>
                </c:pt>
                <c:pt idx="1">
                  <c:v>Entre 9500 à 14500 gdes</c:v>
                </c:pt>
                <c:pt idx="2">
                  <c:v>Entre 15000 à 20000 Gdes</c:v>
                </c:pt>
                <c:pt idx="3">
                  <c:v>Entre 20500 à 25500 Gdes</c:v>
                </c:pt>
                <c:pt idx="4">
                  <c:v>Entre 26000 à 31000 Gdes</c:v>
                </c:pt>
                <c:pt idx="5">
                  <c:v>Entre 31500 à 36500 Gdes</c:v>
                </c:pt>
                <c:pt idx="6">
                  <c:v>Entre 37000 à 42000 Gdes</c:v>
                </c:pt>
                <c:pt idx="7">
                  <c:v>Entre 42500 Gdes et plus</c:v>
                </c:pt>
              </c:strCache>
            </c:strRef>
          </c:cat>
          <c:val>
            <c:numRef>
              <c:f>Repport!$E$209:$E$216</c:f>
              <c:numCache>
                <c:formatCode>General</c:formatCode>
                <c:ptCount val="8"/>
                <c:pt idx="0">
                  <c:v>0.0</c:v>
                </c:pt>
                <c:pt idx="1">
                  <c:v>6.0</c:v>
                </c:pt>
                <c:pt idx="2">
                  <c:v>6.0</c:v>
                </c:pt>
                <c:pt idx="3">
                  <c:v>5.0</c:v>
                </c:pt>
                <c:pt idx="4">
                  <c:v>1.0</c:v>
                </c:pt>
                <c:pt idx="5">
                  <c:v>1.0</c:v>
                </c:pt>
                <c:pt idx="6">
                  <c:v>1.0</c:v>
                </c:pt>
                <c:pt idx="7">
                  <c:v>2.0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BBD-44AB-A989-81B61744450D}"/>
            </c:ext>
          </c:extLst>
        </c:ser>
        <c:ser>
          <c:idx val="4"/>
          <c:order val="4"/>
          <c:tx>
            <c:strRef>
              <c:f>Repport!$F$206:$F$208</c:f>
              <c:strCache>
                <c:ptCount val="3"/>
                <c:pt idx="0">
                  <c:v>Analyse de prix du loyer / année</c:v>
                </c:pt>
                <c:pt idx="1">
                  <c:v>Nombre de chambre</c:v>
                </c:pt>
                <c:pt idx="2">
                  <c:v>4 chambres et plus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Repport!$A$209:$A$216</c:f>
              <c:strCache>
                <c:ptCount val="8"/>
                <c:pt idx="0">
                  <c:v>Entre 4000 à 9000 Gdes</c:v>
                </c:pt>
                <c:pt idx="1">
                  <c:v>Entre 9500 à 14500 gdes</c:v>
                </c:pt>
                <c:pt idx="2">
                  <c:v>Entre 15000 à 20000 Gdes</c:v>
                </c:pt>
                <c:pt idx="3">
                  <c:v>Entre 20500 à 25500 Gdes</c:v>
                </c:pt>
                <c:pt idx="4">
                  <c:v>Entre 26000 à 31000 Gdes</c:v>
                </c:pt>
                <c:pt idx="5">
                  <c:v>Entre 31500 à 36500 Gdes</c:v>
                </c:pt>
                <c:pt idx="6">
                  <c:v>Entre 37000 à 42000 Gdes</c:v>
                </c:pt>
                <c:pt idx="7">
                  <c:v>Entre 42500 Gdes et plus</c:v>
                </c:pt>
              </c:strCache>
            </c:strRef>
          </c:cat>
          <c:val>
            <c:numRef>
              <c:f>Repport!$F$209:$F$216</c:f>
              <c:numCache>
                <c:formatCode>General</c:formatCode>
                <c:ptCount val="8"/>
                <c:pt idx="0">
                  <c:v>4.0</c:v>
                </c:pt>
                <c:pt idx="1">
                  <c:v>4.0</c:v>
                </c:pt>
                <c:pt idx="2">
                  <c:v>10.0</c:v>
                </c:pt>
                <c:pt idx="3">
                  <c:v>2.0</c:v>
                </c:pt>
                <c:pt idx="4">
                  <c:v>1.0</c:v>
                </c:pt>
                <c:pt idx="5">
                  <c:v>1.0</c:v>
                </c:pt>
                <c:pt idx="6">
                  <c:v>0.0</c:v>
                </c:pt>
                <c:pt idx="7">
                  <c:v>10.0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BBD-44AB-A989-81B6174445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-2092299336"/>
        <c:axId val="-2078365016"/>
      </c:barChart>
      <c:catAx>
        <c:axId val="-20922993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8365016"/>
        <c:crosses val="autoZero"/>
        <c:auto val="1"/>
        <c:lblAlgn val="ctr"/>
        <c:lblOffset val="100"/>
        <c:noMultiLvlLbl val="0"/>
      </c:catAx>
      <c:valAx>
        <c:axId val="-20783650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922993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accent3">
        <a:lumMod val="40000"/>
        <a:lumOff val="6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Evolution</a:t>
            </a:r>
            <a:r>
              <a:rPr lang="en-US" b="1" baseline="0"/>
              <a:t> des prix du loyer suite au passage de l'ouragan Matthew</a:t>
            </a:r>
            <a:endParaRPr lang="en-US" b="1"/>
          </a:p>
        </c:rich>
      </c:tx>
      <c:layout/>
      <c:overlay val="0"/>
      <c:spPr>
        <a:solidFill>
          <a:schemeClr val="tx2">
            <a:lumMod val="40000"/>
            <a:lumOff val="60000"/>
          </a:schemeClr>
        </a:solidFill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0E1-44F9-8ABF-1CD2E53F096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0E1-44F9-8ABF-1CD2E53F096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0E1-44F9-8ABF-1CD2E53F0968}"/>
              </c:ext>
            </c:extLst>
          </c:dPt>
          <c:dLbls>
            <c:spPr>
              <a:solidFill>
                <a:schemeClr val="bg2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multiLvlStrRef>
              <c:f>Sheet1!$E$79:$G$80</c:f>
              <c:multiLvlStrCache>
                <c:ptCount val="3"/>
                <c:lvl>
                  <c:pt idx="0">
                    <c:v>Le prix du loyer s'augmente</c:v>
                  </c:pt>
                  <c:pt idx="1">
                    <c:v>Le prix du loyer diminue</c:v>
                  </c:pt>
                  <c:pt idx="2">
                    <c:v>Le prix du loyer ne change pas (Pas d'eau et d'électricité)</c:v>
                  </c:pt>
                </c:lvl>
                <c:lvl>
                  <c:pt idx="0">
                    <c:v>Evolution du prix du loyer suite au passage de l'ouragan Matthew</c:v>
                  </c:pt>
                </c:lvl>
              </c:multiLvlStrCache>
            </c:multiLvlStrRef>
          </c:cat>
          <c:val>
            <c:numRef>
              <c:f>Sheet1!$E$81:$G$81</c:f>
              <c:numCache>
                <c:formatCode>0.00%</c:formatCode>
                <c:ptCount val="3"/>
                <c:pt idx="0">
                  <c:v>0.5936</c:v>
                </c:pt>
                <c:pt idx="1">
                  <c:v>0.0064</c:v>
                </c:pt>
                <c:pt idx="2" formatCode="0%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0E1-44F9-8ABF-1CD2E53F09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accent3">
        <a:lumMod val="40000"/>
        <a:lumOff val="6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Type de maison </a:t>
            </a:r>
            <a:r>
              <a:rPr lang="en-US" b="1">
                <a:latin typeface="Times New Roman" panose="02020603050405020304" pitchFamily="18" charset="0"/>
                <a:cs typeface="Times New Roman" panose="02020603050405020304" pitchFamily="18" charset="0"/>
              </a:rPr>
              <a:t>à louer</a:t>
            </a:r>
            <a:endParaRPr lang="en-US" b="1"/>
          </a:p>
        </c:rich>
      </c:tx>
      <c:layout/>
      <c:overlay val="0"/>
      <c:spPr>
        <a:solidFill>
          <a:schemeClr val="bg2">
            <a:lumMod val="90000"/>
          </a:schemeClr>
        </a:solidFill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bg2">
                  <a:lumMod val="9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Repport!$C$98:$F$99</c:f>
              <c:multiLvlStrCache>
                <c:ptCount val="4"/>
                <c:lvl>
                  <c:pt idx="0">
                    <c:v>Maison en beton</c:v>
                  </c:pt>
                  <c:pt idx="1">
                    <c:v>Maison en tole et bloc</c:v>
                  </c:pt>
                  <c:pt idx="2">
                    <c:v>Maison en tole et roche</c:v>
                  </c:pt>
                  <c:pt idx="3">
                    <c:v>Autre</c:v>
                  </c:pt>
                </c:lvl>
                <c:lvl>
                  <c:pt idx="0">
                    <c:v>Type de maison à louer</c:v>
                  </c:pt>
                </c:lvl>
              </c:multiLvlStrCache>
            </c:multiLvlStrRef>
          </c:cat>
          <c:val>
            <c:numRef>
              <c:f>Repport!$C$100:$F$100</c:f>
              <c:numCache>
                <c:formatCode>0.00%</c:formatCode>
                <c:ptCount val="4"/>
                <c:pt idx="0">
                  <c:v>0.2387</c:v>
                </c:pt>
                <c:pt idx="1">
                  <c:v>0.529</c:v>
                </c:pt>
                <c:pt idx="2">
                  <c:v>0.2258</c:v>
                </c:pt>
                <c:pt idx="3">
                  <c:v>0.0065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711-4DA4-BB04-456B9F7944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-2078348504"/>
        <c:axId val="-2079248024"/>
      </c:barChart>
      <c:catAx>
        <c:axId val="-20783485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9248024"/>
        <c:crosses val="autoZero"/>
        <c:auto val="1"/>
        <c:lblAlgn val="ctr"/>
        <c:lblOffset val="100"/>
        <c:noMultiLvlLbl val="0"/>
      </c:catAx>
      <c:valAx>
        <c:axId val="-2079248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83485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rgbClr val="C3B4CC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Services disponibles dans les maisons à louer</a:t>
            </a:r>
          </a:p>
        </c:rich>
      </c:tx>
      <c:layout/>
      <c:overlay val="0"/>
      <c:spPr>
        <a:solidFill>
          <a:schemeClr val="accent3">
            <a:lumMod val="20000"/>
            <a:lumOff val="80000"/>
          </a:schemeClr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Sheet1!$B$124:$B$125</c:f>
              <c:strCache>
                <c:ptCount val="2"/>
                <c:pt idx="0">
                  <c:v>Services disponibles dans les maisons à louer</c:v>
                </c:pt>
                <c:pt idx="1">
                  <c:v># de maisons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accent3">
                  <a:lumMod val="20000"/>
                  <a:lumOff val="8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Sheet1!$A$126:$A$135</c:f>
              <c:strCache>
                <c:ptCount val="10"/>
                <c:pt idx="0">
                  <c:v>Eau, cuisine, latrine et toilette WC</c:v>
                </c:pt>
                <c:pt idx="1">
                  <c:v>Eau, cuisine et latrine</c:v>
                </c:pt>
                <c:pt idx="2">
                  <c:v>Eau potable, cuisine, latrine et toilette WC</c:v>
                </c:pt>
                <c:pt idx="3">
                  <c:v>Electricite et eau</c:v>
                </c:pt>
                <c:pt idx="4">
                  <c:v>Electricite, eau potable, cuisine, latrine et toilette WC</c:v>
                </c:pt>
                <c:pt idx="5">
                  <c:v>Electricite, cuisine et latrine</c:v>
                </c:pt>
                <c:pt idx="6">
                  <c:v>Electricite, cuisine, latrine et toilette WC </c:v>
                </c:pt>
                <c:pt idx="7">
                  <c:v>Cuisine et latrine</c:v>
                </c:pt>
                <c:pt idx="8">
                  <c:v>Cuisine, latrine et toilette WC</c:v>
                </c:pt>
                <c:pt idx="9">
                  <c:v>Cuisine, latrine et autres services</c:v>
                </c:pt>
              </c:strCache>
            </c:strRef>
          </c:cat>
          <c:val>
            <c:numRef>
              <c:f>Sheet1!$B$126:$B$135</c:f>
              <c:numCache>
                <c:formatCode>General</c:formatCode>
                <c:ptCount val="10"/>
                <c:pt idx="0">
                  <c:v>2.0</c:v>
                </c:pt>
                <c:pt idx="1">
                  <c:v>14.0</c:v>
                </c:pt>
                <c:pt idx="2">
                  <c:v>6.0</c:v>
                </c:pt>
                <c:pt idx="3">
                  <c:v>28.0</c:v>
                </c:pt>
                <c:pt idx="4">
                  <c:v>8.0</c:v>
                </c:pt>
                <c:pt idx="5">
                  <c:v>10.0</c:v>
                </c:pt>
                <c:pt idx="6">
                  <c:v>2.0</c:v>
                </c:pt>
                <c:pt idx="7">
                  <c:v>60.0</c:v>
                </c:pt>
                <c:pt idx="8">
                  <c:v>4.0</c:v>
                </c:pt>
                <c:pt idx="9">
                  <c:v>21.0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D0C-4CBC-9519-9F436B00BD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2079213256"/>
        <c:axId val="-2079281544"/>
      </c:barChart>
      <c:catAx>
        <c:axId val="-2079213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9281544"/>
        <c:crosses val="autoZero"/>
        <c:auto val="1"/>
        <c:lblAlgn val="ctr"/>
        <c:lblOffset val="100"/>
        <c:noMultiLvlLbl val="0"/>
      </c:catAx>
      <c:valAx>
        <c:axId val="-2079281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9213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3">
        <a:lumMod val="60000"/>
        <a:lumOff val="4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Niveau de dommage par</a:t>
            </a:r>
            <a:r>
              <a:rPr lang="en-US" baseline="0"/>
              <a:t> type de</a:t>
            </a:r>
            <a:r>
              <a:rPr lang="en-US"/>
              <a:t> maison</a:t>
            </a:r>
          </a:p>
        </c:rich>
      </c:tx>
      <c:layout/>
      <c:overlay val="0"/>
      <c:spPr>
        <a:solidFill>
          <a:schemeClr val="tx2">
            <a:lumMod val="40000"/>
            <a:lumOff val="60000"/>
          </a:schemeClr>
        </a:solidFill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Repport!$C$152</c:f>
              <c:strCache>
                <c:ptCount val="1"/>
                <c:pt idx="0">
                  <c:v>Pas de dommage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chemeClr val="tx2">
                  <a:lumMod val="40000"/>
                  <a:lumOff val="6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Repport!$D$150:$F$151</c:f>
              <c:strCache>
                <c:ptCount val="3"/>
                <c:pt idx="0">
                  <c:v>Maison sans etage</c:v>
                </c:pt>
                <c:pt idx="1">
                  <c:v>Maison avec 1 etage</c:v>
                </c:pt>
                <c:pt idx="2">
                  <c:v>Maison avec plusieurs etages</c:v>
                </c:pt>
              </c:strCache>
            </c:strRef>
          </c:cat>
          <c:val>
            <c:numRef>
              <c:f>Repport!$D$152:$F$152</c:f>
              <c:numCache>
                <c:formatCode>General</c:formatCode>
                <c:ptCount val="3"/>
                <c:pt idx="0">
                  <c:v>80.0</c:v>
                </c:pt>
                <c:pt idx="1">
                  <c:v>8.0</c:v>
                </c:pt>
                <c:pt idx="2">
                  <c:v>4.0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DF8-42D4-9E89-BB6582AD2024}"/>
            </c:ext>
          </c:extLst>
        </c:ser>
        <c:ser>
          <c:idx val="1"/>
          <c:order val="1"/>
          <c:tx>
            <c:strRef>
              <c:f>Repport!$C$153</c:f>
              <c:strCache>
                <c:ptCount val="1"/>
                <c:pt idx="0">
                  <c:v>Dommage leger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Repport!$D$150:$F$151</c:f>
              <c:strCache>
                <c:ptCount val="3"/>
                <c:pt idx="0">
                  <c:v>Maison sans etage</c:v>
                </c:pt>
                <c:pt idx="1">
                  <c:v>Maison avec 1 etage</c:v>
                </c:pt>
                <c:pt idx="2">
                  <c:v>Maison avec plusieurs etages</c:v>
                </c:pt>
              </c:strCache>
            </c:strRef>
          </c:cat>
          <c:val>
            <c:numRef>
              <c:f>Repport!$D$153:$F$153</c:f>
              <c:numCache>
                <c:formatCode>General</c:formatCode>
                <c:ptCount val="3"/>
                <c:pt idx="0">
                  <c:v>53.0</c:v>
                </c:pt>
                <c:pt idx="1">
                  <c:v>1.0</c:v>
                </c:pt>
                <c:pt idx="2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DF8-42D4-9E89-BB6582AD2024}"/>
            </c:ext>
          </c:extLst>
        </c:ser>
        <c:ser>
          <c:idx val="2"/>
          <c:order val="2"/>
          <c:tx>
            <c:strRef>
              <c:f>Repport!$C$154</c:f>
              <c:strCache>
                <c:ptCount val="1"/>
                <c:pt idx="0">
                  <c:v>Beaucoup de dommage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Repport!$D$150:$F$151</c:f>
              <c:strCache>
                <c:ptCount val="3"/>
                <c:pt idx="0">
                  <c:v>Maison sans etage</c:v>
                </c:pt>
                <c:pt idx="1">
                  <c:v>Maison avec 1 etage</c:v>
                </c:pt>
                <c:pt idx="2">
                  <c:v>Maison avec plusieurs etages</c:v>
                </c:pt>
              </c:strCache>
            </c:strRef>
          </c:cat>
          <c:val>
            <c:numRef>
              <c:f>Repport!$D$154:$F$154</c:f>
              <c:numCache>
                <c:formatCode>General</c:formatCode>
                <c:ptCount val="3"/>
                <c:pt idx="0">
                  <c:v>9.0</c:v>
                </c:pt>
                <c:pt idx="1">
                  <c:v>0.0</c:v>
                </c:pt>
                <c:pt idx="2">
                  <c:v>0.0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DF8-42D4-9E89-BB6582AD20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-2079157976"/>
        <c:axId val="-2078403176"/>
      </c:barChart>
      <c:catAx>
        <c:axId val="-20791579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8403176"/>
        <c:crosses val="autoZero"/>
        <c:auto val="1"/>
        <c:lblAlgn val="ctr"/>
        <c:lblOffset val="100"/>
        <c:noMultiLvlLbl val="0"/>
      </c:catAx>
      <c:valAx>
        <c:axId val="-20784031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2079157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accent3">
        <a:lumMod val="40000"/>
        <a:lumOff val="6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AB6E1-71BC-8B4C-923E-9D11FD8A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1998</Words>
  <Characters>11389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Katrice Taylor</dc:creator>
  <cp:keywords/>
  <dc:description/>
  <cp:lastModifiedBy>Nancy Doran</cp:lastModifiedBy>
  <cp:revision>2</cp:revision>
  <cp:lastPrinted>2017-09-08T20:58:00Z</cp:lastPrinted>
  <dcterms:created xsi:type="dcterms:W3CDTF">2019-11-14T18:00:00Z</dcterms:created>
  <dcterms:modified xsi:type="dcterms:W3CDTF">2019-11-14T18:00:00Z</dcterms:modified>
</cp:coreProperties>
</file>